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161" w:rsidRDefault="00BA5161" w:rsidP="00BA5161">
      <w:pPr>
        <w:rPr>
          <w:rFonts w:ascii="方正仿宋_GBK" w:eastAsia="方正仿宋_GBK"/>
          <w:color w:val="333333"/>
          <w:sz w:val="32"/>
          <w:szCs w:val="32"/>
          <w:shd w:val="clear" w:color="auto" w:fill="FFFFFF"/>
        </w:rPr>
      </w:pPr>
      <w:r>
        <w:rPr>
          <w:rFonts w:ascii="方正仿宋_GBK" w:eastAsia="方正仿宋_GBK" w:hint="eastAsia"/>
          <w:color w:val="333333"/>
          <w:sz w:val="32"/>
          <w:szCs w:val="32"/>
          <w:shd w:val="clear" w:color="auto" w:fill="FFFFFF"/>
        </w:rPr>
        <w:t>附件</w:t>
      </w:r>
      <w:r>
        <w:rPr>
          <w:rFonts w:ascii="方正仿宋_GBK" w:eastAsia="方正仿宋_GBK"/>
          <w:color w:val="333333"/>
          <w:sz w:val="32"/>
          <w:szCs w:val="32"/>
          <w:shd w:val="clear" w:color="auto" w:fill="FFFFFF"/>
        </w:rPr>
        <w:t>2</w:t>
      </w:r>
      <w:r>
        <w:rPr>
          <w:rFonts w:ascii="方正仿宋_GBK" w:eastAsia="方正仿宋_GBK" w:hint="eastAsia"/>
          <w:color w:val="333333"/>
          <w:sz w:val="32"/>
          <w:szCs w:val="32"/>
          <w:shd w:val="clear" w:color="auto" w:fill="FFFFFF"/>
        </w:rPr>
        <w:t>：</w:t>
      </w:r>
    </w:p>
    <w:p w:rsidR="00BA5161" w:rsidRDefault="00BA5161" w:rsidP="00BA5161">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rsidR="00BA5161" w:rsidRDefault="00BA5161" w:rsidP="00BA5161">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BA5161" w:rsidRPr="000C2A0A" w:rsidRDefault="00BA5161" w:rsidP="00BA5161">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根据已收到贵方</w:t>
      </w:r>
      <w:r w:rsidRPr="00E516F9">
        <w:rPr>
          <w:rFonts w:ascii="仿宋_GB2312" w:eastAsia="仿宋_GB2312" w:hAnsi="仿宋" w:cs="宋体" w:hint="eastAsia"/>
          <w:kern w:val="0"/>
          <w:sz w:val="32"/>
          <w:szCs w:val="32"/>
          <w:u w:val="single"/>
        </w:rPr>
        <w:t>大乐</w:t>
      </w:r>
      <w:proofErr w:type="gramStart"/>
      <w:r w:rsidRPr="00E516F9">
        <w:rPr>
          <w:rFonts w:ascii="仿宋_GB2312" w:eastAsia="仿宋_GB2312" w:hAnsi="仿宋" w:cs="宋体" w:hint="eastAsia"/>
          <w:kern w:val="0"/>
          <w:sz w:val="32"/>
          <w:szCs w:val="32"/>
          <w:u w:val="single"/>
        </w:rPr>
        <w:t>透品牌微</w:t>
      </w:r>
      <w:proofErr w:type="gramEnd"/>
      <w:r w:rsidRPr="00E516F9">
        <w:rPr>
          <w:rFonts w:ascii="仿宋_GB2312" w:eastAsia="仿宋_GB2312" w:hAnsi="仿宋" w:cs="宋体" w:hint="eastAsia"/>
          <w:kern w:val="0"/>
          <w:sz w:val="32"/>
          <w:szCs w:val="32"/>
          <w:u w:val="single"/>
        </w:rPr>
        <w:t>视频推广</w:t>
      </w:r>
      <w:r w:rsidRPr="006238F8">
        <w:rPr>
          <w:rFonts w:ascii="仿宋_GB2312" w:eastAsia="仿宋_GB2312" w:hAnsi="仿宋" w:cs="宋体" w:hint="eastAsia"/>
          <w:kern w:val="0"/>
          <w:sz w:val="32"/>
          <w:szCs w:val="32"/>
          <w:u w:val="single"/>
        </w:rPr>
        <w:t>项目</w:t>
      </w:r>
      <w:r w:rsidRPr="000C2A0A">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元(RMB：</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元)的投标报价并按询价文件的条件要求完成该项目。</w:t>
      </w:r>
    </w:p>
    <w:p w:rsidR="00BA5161" w:rsidRDefault="00BA5161" w:rsidP="00BA516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BA5161" w:rsidRDefault="00BA5161" w:rsidP="00BA516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BA5161" w:rsidRDefault="00BA5161" w:rsidP="00BA516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BA5161" w:rsidRDefault="00BA5161" w:rsidP="00BA516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BA5161" w:rsidRDefault="00BA5161" w:rsidP="00BA516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bookmarkStart w:id="0" w:name="_GoBack"/>
      <w:bookmarkEnd w:id="0"/>
    </w:p>
    <w:p w:rsidR="00BA5161" w:rsidRDefault="00BA5161" w:rsidP="00BA5161">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BA5161" w:rsidRDefault="00BA5161" w:rsidP="00BA5161">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C02D9C" w:rsidRDefault="00BA5161" w:rsidP="00F518F6">
      <w:pPr>
        <w:jc w:val="right"/>
      </w:pPr>
      <w:r>
        <w:rPr>
          <w:rFonts w:ascii="方正仿宋_GBK" w:eastAsia="方正仿宋_GBK" w:hAnsi="方正仿宋_GBK" w:cs="方正仿宋_GBK" w:hint="eastAsia"/>
          <w:bCs/>
          <w:sz w:val="32"/>
          <w:szCs w:val="32"/>
        </w:rPr>
        <w:t>年     月    日</w:t>
      </w:r>
    </w:p>
    <w:sectPr w:rsidR="00C02D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9C"/>
    <w:rsid w:val="00BA5161"/>
    <w:rsid w:val="00C02D9C"/>
    <w:rsid w:val="00F51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7974"/>
  <w15:chartTrackingRefBased/>
  <w15:docId w15:val="{F7FFDC8B-C5F4-4905-ABCE-C1472929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D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2019-07-29T09:52:00Z</dcterms:created>
  <dcterms:modified xsi:type="dcterms:W3CDTF">2019-07-29T09:52:00Z</dcterms:modified>
</cp:coreProperties>
</file>