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D44" w:rsidRDefault="00250D44" w:rsidP="00250D44">
      <w:pPr>
        <w:widowControl/>
        <w:spacing w:line="520" w:lineRule="exact"/>
        <w:jc w:val="left"/>
        <w:rPr>
          <w:rFonts w:ascii="华文仿宋" w:eastAsia="华文仿宋" w:hAnsi="华文仿宋" w:cs="宋体"/>
          <w:kern w:val="0"/>
          <w:sz w:val="32"/>
          <w:szCs w:val="32"/>
        </w:rPr>
      </w:pPr>
      <w:r>
        <w:rPr>
          <w:rFonts w:ascii="华文仿宋" w:eastAsia="华文仿宋" w:hAnsi="华文仿宋" w:cs="宋体" w:hint="eastAsia"/>
          <w:kern w:val="0"/>
          <w:sz w:val="32"/>
          <w:szCs w:val="32"/>
        </w:rPr>
        <w:t>附件1：</w:t>
      </w:r>
    </w:p>
    <w:p w:rsidR="00250D44" w:rsidRDefault="00250D44" w:rsidP="00250D44">
      <w:pPr>
        <w:widowControl/>
        <w:adjustRightInd w:val="0"/>
        <w:snapToGrid w:val="0"/>
        <w:spacing w:line="540" w:lineRule="exact"/>
        <w:jc w:val="center"/>
        <w:rPr>
          <w:rFonts w:ascii="方正仿宋_GBK" w:eastAsia="方正仿宋_GBK" w:hAnsi="黑体"/>
          <w:kern w:val="0"/>
          <w:sz w:val="32"/>
          <w:szCs w:val="32"/>
        </w:rPr>
      </w:pPr>
    </w:p>
    <w:p w:rsidR="00250D44" w:rsidRPr="000D5C99" w:rsidRDefault="00250D44" w:rsidP="00250D44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黑体"/>
          <w:kern w:val="0"/>
          <w:sz w:val="32"/>
          <w:szCs w:val="32"/>
        </w:rPr>
      </w:pPr>
      <w:proofErr w:type="gramStart"/>
      <w:r w:rsidRPr="000D5C99">
        <w:rPr>
          <w:rFonts w:ascii="方正小标宋_GBK" w:eastAsia="方正小标宋_GBK" w:hAnsi="黑体" w:hint="eastAsia"/>
          <w:kern w:val="0"/>
          <w:sz w:val="32"/>
          <w:szCs w:val="32"/>
        </w:rPr>
        <w:t>竞彩路人</w:t>
      </w:r>
      <w:proofErr w:type="gramEnd"/>
      <w:r w:rsidRPr="000D5C99">
        <w:rPr>
          <w:rFonts w:ascii="方正小标宋_GBK" w:eastAsia="方正小标宋_GBK" w:hAnsi="黑体" w:hint="eastAsia"/>
          <w:kern w:val="0"/>
          <w:sz w:val="32"/>
          <w:szCs w:val="32"/>
        </w:rPr>
        <w:t>王</w:t>
      </w:r>
      <w:r w:rsidRPr="000D5C99">
        <w:rPr>
          <w:rFonts w:ascii="方正小标宋_GBK" w:eastAsia="方正小标宋_GBK" w:hAnsi="黑体"/>
          <w:kern w:val="0"/>
          <w:sz w:val="32"/>
          <w:szCs w:val="32"/>
        </w:rPr>
        <w:t>三分球</w:t>
      </w:r>
      <w:r w:rsidRPr="000D5C99">
        <w:rPr>
          <w:rFonts w:ascii="方正小标宋_GBK" w:eastAsia="方正小标宋_GBK" w:hAnsi="黑体" w:hint="eastAsia"/>
          <w:kern w:val="0"/>
          <w:sz w:val="32"/>
          <w:szCs w:val="32"/>
        </w:rPr>
        <w:t>地</w:t>
      </w:r>
      <w:proofErr w:type="gramStart"/>
      <w:r w:rsidRPr="000D5C99">
        <w:rPr>
          <w:rFonts w:ascii="方正小标宋_GBK" w:eastAsia="方正小标宋_GBK" w:hAnsi="黑体" w:hint="eastAsia"/>
          <w:kern w:val="0"/>
          <w:sz w:val="32"/>
          <w:szCs w:val="32"/>
        </w:rPr>
        <w:t>推活动</w:t>
      </w:r>
      <w:proofErr w:type="gramEnd"/>
      <w:r w:rsidRPr="000D5C99">
        <w:rPr>
          <w:rFonts w:ascii="方正小标宋_GBK" w:eastAsia="方正小标宋_GBK" w:hAnsi="黑体" w:hint="eastAsia"/>
          <w:kern w:val="0"/>
          <w:sz w:val="32"/>
          <w:szCs w:val="32"/>
        </w:rPr>
        <w:t>项目</w:t>
      </w:r>
    </w:p>
    <w:p w:rsidR="00250D44" w:rsidRPr="00246280" w:rsidRDefault="00250D44" w:rsidP="00250D44">
      <w:pPr>
        <w:widowControl/>
        <w:adjustRightInd w:val="0"/>
        <w:snapToGrid w:val="0"/>
        <w:spacing w:line="540" w:lineRule="exact"/>
        <w:jc w:val="center"/>
        <w:rPr>
          <w:rFonts w:ascii="方正小标宋_GBK" w:eastAsia="方正小标宋_GBK" w:hAnsi="黑体"/>
          <w:kern w:val="0"/>
          <w:sz w:val="32"/>
          <w:szCs w:val="32"/>
        </w:rPr>
      </w:pPr>
      <w:r w:rsidRPr="00246280">
        <w:rPr>
          <w:rFonts w:ascii="方正小标宋_GBK" w:eastAsia="方正小标宋_GBK" w:hAnsi="黑体" w:hint="eastAsia"/>
          <w:kern w:val="0"/>
          <w:sz w:val="32"/>
          <w:szCs w:val="32"/>
        </w:rPr>
        <w:t>相关要求</w:t>
      </w:r>
    </w:p>
    <w:p w:rsidR="00250D44" w:rsidRDefault="00250D44" w:rsidP="00250D44">
      <w:pPr>
        <w:ind w:firstLineChars="200" w:firstLine="640"/>
        <w:rPr>
          <w:rFonts w:ascii="方正仿宋_GBK" w:eastAsia="方正仿宋_GBK"/>
          <w:sz w:val="32"/>
          <w:szCs w:val="32"/>
        </w:rPr>
      </w:pPr>
    </w:p>
    <w:p w:rsidR="00250D44" w:rsidRPr="000D5C99" w:rsidRDefault="00250D44" w:rsidP="00250D44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0D5C99">
        <w:rPr>
          <w:rFonts w:ascii="方正仿宋_GBK" w:eastAsia="方正仿宋_GBK" w:hint="eastAsia"/>
          <w:sz w:val="32"/>
          <w:szCs w:val="32"/>
        </w:rPr>
        <w:t>第18届国际篮联篮球世界杯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竞彩将开售全部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比赛，为了扩大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竞彩购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彩者群体，提升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竞彩品牌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影响力，拟在核心商圈或人流量较大的步行街、商场等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开展竞彩三分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王挑战赛。具体方案必须满足以下条件：</w:t>
      </w:r>
    </w:p>
    <w:p w:rsidR="00250D44" w:rsidRPr="000D5C99" w:rsidRDefault="00250D44" w:rsidP="00250D44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0D5C99">
        <w:rPr>
          <w:rFonts w:ascii="方正仿宋_GBK" w:eastAsia="方正仿宋_GBK" w:hint="eastAsia"/>
          <w:sz w:val="32"/>
          <w:szCs w:val="32"/>
        </w:rPr>
        <w:t>一、篮球世界杯期间（8月31日-9月15日）开展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场次不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少于15场，活动场地不需要很大，但是要保证人流量，覆盖人群要广，宜选择商超、商圈、高校、社区等地点较为合适。</w:t>
      </w:r>
    </w:p>
    <w:p w:rsidR="00250D44" w:rsidRPr="000D5C99" w:rsidRDefault="00250D44" w:rsidP="00250D44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0D5C99">
        <w:rPr>
          <w:rFonts w:ascii="方正仿宋_GBK" w:eastAsia="方正仿宋_GBK" w:hint="eastAsia"/>
          <w:sz w:val="32"/>
          <w:szCs w:val="32"/>
        </w:rPr>
        <w:t>二、现场活动应以趣味性为主，具体方案与体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彩中心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商议定稿，保证参与者全部都要有奖品，现场主要宣传物料以及道具上都要有体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彩竞彩品牌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露出；</w:t>
      </w:r>
    </w:p>
    <w:p w:rsidR="00250D44" w:rsidRPr="000D5C99" w:rsidRDefault="00250D44" w:rsidP="00250D44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0D5C99">
        <w:rPr>
          <w:rFonts w:ascii="方正仿宋_GBK" w:eastAsia="方正仿宋_GBK" w:hint="eastAsia"/>
          <w:sz w:val="32"/>
          <w:szCs w:val="32"/>
        </w:rPr>
        <w:t>三、每场活动现场直接参与人数不低于100人，覆盖人群范围不低于300人。活动执行前必须进行预热宣传。</w:t>
      </w:r>
    </w:p>
    <w:p w:rsidR="00250D44" w:rsidRPr="000D5C99" w:rsidRDefault="00250D44" w:rsidP="00250D44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0D5C99">
        <w:rPr>
          <w:rFonts w:ascii="方正仿宋_GBK" w:eastAsia="方正仿宋_GBK" w:hint="eastAsia"/>
          <w:sz w:val="32"/>
          <w:szCs w:val="32"/>
        </w:rPr>
        <w:t>四、现场所有宣传元素必须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体现竞彩篮球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世界杯相关元素，具体元素由重庆体彩中心提供指导，活动必须要与体彩公益相关，要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与竞彩相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结合，最终交由体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彩中心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审核通过。</w:t>
      </w:r>
    </w:p>
    <w:p w:rsidR="00250D44" w:rsidRPr="000D5C99" w:rsidRDefault="00250D44" w:rsidP="00250D44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0D5C99">
        <w:rPr>
          <w:rFonts w:ascii="方正仿宋_GBK" w:eastAsia="方正仿宋_GBK" w:hint="eastAsia"/>
          <w:sz w:val="32"/>
          <w:szCs w:val="32"/>
        </w:rPr>
        <w:t>五、宣传要全覆盖，现场宣传必须包含但不限于活动背景喷绘、横幅、A字牌、宣传展架、创意海报、涂鸦、以及</w:t>
      </w:r>
      <w:r w:rsidRPr="000D5C99">
        <w:rPr>
          <w:rFonts w:ascii="方正仿宋_GBK" w:eastAsia="方正仿宋_GBK" w:hint="eastAsia"/>
          <w:sz w:val="32"/>
          <w:szCs w:val="32"/>
        </w:rPr>
        <w:lastRenderedPageBreak/>
        <w:t>奖品服装等，所有物料都必须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包含竞彩篮球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世界杯口号及相关元素，同时活动前后应主动通过主流媒体（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大渝网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、华龙网、日报、晨报各大报纸）以及网络媒体、自媒体（微博、微信、QQ群、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微信群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、抖音、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微视等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小视频）进行线上、线下全方位报道。</w:t>
      </w:r>
      <w:bookmarkStart w:id="0" w:name="_GoBack"/>
      <w:bookmarkEnd w:id="0"/>
    </w:p>
    <w:p w:rsidR="005A4849" w:rsidRPr="00250D44" w:rsidRDefault="00250D44" w:rsidP="00250D44">
      <w:pPr>
        <w:ind w:firstLineChars="200" w:firstLine="640"/>
        <w:rPr>
          <w:rFonts w:ascii="方正仿宋_GBK" w:eastAsia="方正仿宋_GBK"/>
          <w:sz w:val="32"/>
          <w:szCs w:val="32"/>
        </w:rPr>
      </w:pPr>
      <w:r w:rsidRPr="000D5C99">
        <w:rPr>
          <w:rFonts w:ascii="方正仿宋_GBK" w:eastAsia="方正仿宋_GBK" w:hint="eastAsia"/>
          <w:sz w:val="32"/>
          <w:szCs w:val="32"/>
        </w:rPr>
        <w:t>六、现场要运用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微信朋友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圈扩大活动宣传效果，要求参与活动人员尽量多转发</w:t>
      </w:r>
      <w:proofErr w:type="gramStart"/>
      <w:r w:rsidRPr="000D5C99">
        <w:rPr>
          <w:rFonts w:ascii="方正仿宋_GBK" w:eastAsia="方正仿宋_GBK" w:hint="eastAsia"/>
          <w:sz w:val="32"/>
          <w:szCs w:val="32"/>
        </w:rPr>
        <w:t>微信朋友</w:t>
      </w:r>
      <w:proofErr w:type="gramEnd"/>
      <w:r w:rsidRPr="000D5C99">
        <w:rPr>
          <w:rFonts w:ascii="方正仿宋_GBK" w:eastAsia="方正仿宋_GBK" w:hint="eastAsia"/>
          <w:sz w:val="32"/>
          <w:szCs w:val="32"/>
        </w:rPr>
        <w:t>圈（文字加图片），每场活动转发数量不低于50人。</w:t>
      </w:r>
    </w:p>
    <w:sectPr w:rsidR="005A4849" w:rsidRPr="00250D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17E7" w:rsidRDefault="007B17E7" w:rsidP="00250D44">
      <w:r>
        <w:separator/>
      </w:r>
    </w:p>
  </w:endnote>
  <w:endnote w:type="continuationSeparator" w:id="0">
    <w:p w:rsidR="007B17E7" w:rsidRDefault="007B17E7" w:rsidP="0025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17E7" w:rsidRDefault="007B17E7" w:rsidP="00250D44">
      <w:r>
        <w:separator/>
      </w:r>
    </w:p>
  </w:footnote>
  <w:footnote w:type="continuationSeparator" w:id="0">
    <w:p w:rsidR="007B17E7" w:rsidRDefault="007B17E7" w:rsidP="00250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849"/>
    <w:rsid w:val="00250D44"/>
    <w:rsid w:val="005A4849"/>
    <w:rsid w:val="007B1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70BD02-7E21-444D-86BA-8501BAB2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484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D4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D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2019-08-19T08:19:00Z</dcterms:created>
  <dcterms:modified xsi:type="dcterms:W3CDTF">2019-08-19T08:28:00Z</dcterms:modified>
</cp:coreProperties>
</file>