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CD" w:rsidRDefault="00B400CD" w:rsidP="00B400CD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B400CD" w:rsidRDefault="00B400CD" w:rsidP="00B400CD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400CD" w:rsidRDefault="00B400CD" w:rsidP="00B400CD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《重庆体彩》杂志编撰项目相关要求</w:t>
      </w:r>
      <w:bookmarkEnd w:id="0"/>
    </w:p>
    <w:p w:rsidR="00B400CD" w:rsidRDefault="00B400CD" w:rsidP="00B400CD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一、内容规划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1. 熟悉彩票行业，了解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彩票公益</w:t>
      </w:r>
      <w:proofErr w:type="gramEnd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属性。根据办刊宗旨、舆论导向，对项目发展创新做出战略性规划，及时了解采购人的发展新动向、新趋势，结合采购人实际情况制定内刊宣传报道重点、目标。围绕精品生活杂志定位要求，体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彩相关</w:t>
      </w:r>
      <w:proofErr w:type="gramEnd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版面内容占比应达到五分之三；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2.杂志整体规划应涉及体彩、公益、体育、旅游、餐饮等板块，着力倡导新的生活方式，内容规划要多元化，体现生活的趣味性、公益性，开设相关栏目不低于8个；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3.结合采购方的重大事件以及社会生活热点，每期明确一个主要选题，进行采写编辑当期可读性强的原创深度文章，页码不低于8P，；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4.结合体彩玩法、公益，深入一线采写体彩融入生活的有趣故事，每期不少于2个原创故事；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5.结合采购方的文化建设，须采写编辑体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彩文化</w:t>
      </w:r>
      <w:proofErr w:type="gramEnd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稿件，展现其内部员工阳光、向上的新精神风貌，每期稿件不低于1篇；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6、围绕重庆全民健身条例以及重庆体育运动，全年采写不低于6篇有影响、鲜活、生动的运动深度文章；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lastRenderedPageBreak/>
        <w:t>7.每期刊首语，要旗帜鲜明，要有看头。要围绕采购方公益责任、生活导向，发出责任之声、生活之声；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8.供应商须在每季度第一个月20日之内，向采购人提交当期内容规划与选题设计，经确认后方可编撰。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9.供应商应提前与采购方指定团队沟通，确定主题、方向及每期的思路、工作时间节奏等细节内容。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二、排版设计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1.供应商须着眼于形、字、色、构图，以丰富的表现手法，满足读者知识的、想象的、审美的多方面要求进行精心排版设计，注重图文比列，整体设计要具有层次感；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2.封面设计要有导向标题，吸引目标读者的眼球，激发目标读者的阅读欲；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3. 排版设计中，若采购人提供图片等不足部分由供应商补充；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4.内容精细，原创度较高，图文并美，大气美观，文化时尚。内容，体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彩内容</w:t>
      </w:r>
      <w:proofErr w:type="gramEnd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约占1/3，突出文化生活特点；图片，由专业摄影团队提供，优中选优。排版，专业美工排版，达到国内一流杂志水平。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5.作业流程：定位规划、栏目设计、选题策划、采写编辑、审读校对、组版设计等，严格按照杂志质量管理流程操作。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6.每期杂志页码控制在约65-70页。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三、校对出版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lastRenderedPageBreak/>
        <w:t>1. 供应商须指定专人负责杂志的美编设计与校对，对整个杂志的文字进行全面扫描，并甄别改正，严禁出现违反法律法规的宣传字眼与词语；</w:t>
      </w:r>
    </w:p>
    <w:p w:rsidR="00B400CD" w:rsidRDefault="00B400CD" w:rsidP="00B400CD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2. 杂志设计定稿前，供应商应免费打印2本样刊，交采购人签字认可并确认，并将PDF</w:t>
      </w:r>
      <w:proofErr w:type="gramStart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设计稿交采购</w:t>
      </w:r>
      <w:proofErr w:type="gramEnd"/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人送印刷厂；</w:t>
      </w:r>
    </w:p>
    <w:p w:rsidR="00B400CD" w:rsidRDefault="00B400CD" w:rsidP="00B400CD">
      <w:pPr>
        <w:widowControl/>
        <w:spacing w:line="520" w:lineRule="exact"/>
        <w:jc w:val="center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3. 供应商应保证出刊时间。季度出刊时间原则上为4月10日、7月10日、10月10日、次年1月10日之前（全年四</w:t>
      </w:r>
    </w:p>
    <w:p w:rsidR="00B400CD" w:rsidRDefault="00B400CD" w:rsidP="00B400CD">
      <w:pPr>
        <w:widowControl/>
        <w:spacing w:line="52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期）。</w:t>
      </w:r>
    </w:p>
    <w:p w:rsidR="00B400CD" w:rsidRDefault="00B400CD"/>
    <w:sectPr w:rsidR="00B4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D"/>
    <w:rsid w:val="00B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9EC2-5AB0-4A4F-9154-A587B10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2019-12-27T11:08:00Z</dcterms:created>
  <dcterms:modified xsi:type="dcterms:W3CDTF">2019-12-27T11:08:00Z</dcterms:modified>
</cp:coreProperties>
</file>