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91" w:rsidRPr="009303F4" w:rsidRDefault="008E0591" w:rsidP="008E0591">
      <w:pPr>
        <w:widowControl/>
        <w:spacing w:line="520" w:lineRule="exact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附件1</w:t>
      </w:r>
      <w:r w:rsidR="00BE2177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8E0591" w:rsidRPr="009303F4" w:rsidRDefault="008E0591" w:rsidP="008E0591">
      <w:pPr>
        <w:widowControl/>
        <w:snapToGrid w:val="0"/>
        <w:spacing w:line="520" w:lineRule="exact"/>
        <w:ind w:firstLineChars="300" w:firstLine="960"/>
        <w:rPr>
          <w:rFonts w:ascii="仿宋_GB2312" w:eastAsia="仿宋_GB2312" w:hAnsi="仿宋" w:cs="宋体"/>
          <w:kern w:val="0"/>
          <w:sz w:val="32"/>
          <w:szCs w:val="32"/>
        </w:rPr>
      </w:pPr>
    </w:p>
    <w:p w:rsidR="008E0591" w:rsidRPr="009303F4" w:rsidRDefault="008E0591" w:rsidP="008E0591">
      <w:pPr>
        <w:ind w:firstLineChars="650" w:firstLine="208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网点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拉新培训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项目相关要求</w:t>
      </w:r>
    </w:p>
    <w:p w:rsidR="008E0591" w:rsidRPr="009303F4" w:rsidRDefault="008E0591" w:rsidP="008E0591">
      <w:pPr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一、供应商应具备系统化的体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彩竞彩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专业知识培训课程（包括如何帮助网点拉新、网点日常经营技巧、如何提升网点竞猜玩法销量等），所有课程均要有详细完备的实施方案，同时所有培训课程在合作周期内（3个月）根据需方实际情况及需求具有进行额外补充完善的能力。</w:t>
      </w:r>
    </w:p>
    <w:p w:rsidR="008E0591" w:rsidRPr="009303F4" w:rsidRDefault="008E0591" w:rsidP="008E0591">
      <w:pPr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二、供应商有培训体彩网点成功案例（不低于50个网点案例），即网点在培训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前竞彩</w:t>
      </w:r>
      <w:bookmarkStart w:id="0" w:name="_GoBack"/>
      <w:bookmarkEnd w:id="0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销售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是什么状态，通过培训后网点的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竞彩客户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群体有没有扩大，日常经营技巧有无提高，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竞彩销量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有无提升等，供应商需提供相关真实数据以及证明材料。</w:t>
      </w:r>
    </w:p>
    <w:p w:rsidR="008E0591" w:rsidRPr="009303F4" w:rsidRDefault="008E0591" w:rsidP="008E0591">
      <w:pPr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三、供应商具备线上线下相结合的不低于50个网点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的竞彩玩法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实地帮扶案例。并根据实际情况提供相关数据依据（包括网点固定竞彩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彩民数量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增减情况、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竞彩销量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提升情况以及网点返奖率提升情况等）。</w:t>
      </w:r>
    </w:p>
    <w:p w:rsidR="008E0591" w:rsidRPr="009303F4" w:rsidRDefault="008E0591" w:rsidP="008E0591">
      <w:pPr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四、供应商应制定详细的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线下竞彩玩法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培训系列课程，培训100个网点，合作期（3个月）内培训课程开展不低于8场，每次培训时长不低于90分钟；每次培训结束后，供应商应根据线下培训会议内容，对参与培训的100个网点的学习情况和后续落地执行情况进行跟踪管理；并</w:t>
      </w: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且供应商要安排人员负责网点走访，督导网点对培训内容贯彻落实，使参训网点能够养成良好的宣传销售习惯，为以后的销量持续增长打下基础，走访网点数量不低于80个。通过线下跟踪交流，加强双方沟通，使全体受训学员目标统一，步调一致，让宣传规模化，打造一个良好的销售环境。</w:t>
      </w:r>
    </w:p>
    <w:p w:rsidR="008E0591" w:rsidRPr="009303F4" w:rsidRDefault="008E0591" w:rsidP="008E0591">
      <w:pPr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五、供应商根据网点实际情况，具备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巡点串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店实地帮扶能力，帮扶范围包括但不限于装修指导、网点经营、彩票选号、彩票基础知识等方面。现场解决实际经营存在的问题，并每月组织小场轮训不少于3次，每次不少于10个网点参与，对阶段性问题进行针对性解决。让网点突破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竞彩销售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上的技术难题，培训周期完成后实现辖区内无零销量网点。</w:t>
      </w:r>
    </w:p>
    <w:p w:rsidR="008E0591" w:rsidRPr="009303F4" w:rsidRDefault="008E0591" w:rsidP="008E0591">
      <w:pPr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六、供应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商培训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项目参与人员不少于5人，实际执行人员需有多个区域线下帮扶业务工作经验，并具有多年店面运</w:t>
      </w:r>
      <w:proofErr w:type="gramStart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维能力</w:t>
      </w:r>
      <w:proofErr w:type="gramEnd"/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和实战经验，能为体育彩票代销者提供系统性的问题解决方案。</w:t>
      </w:r>
    </w:p>
    <w:p w:rsidR="008E0591" w:rsidRPr="009303F4" w:rsidRDefault="008E0591" w:rsidP="008E0591">
      <w:pPr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七、根据网点实际情况需提供线上培训系列课程，线上培训课程与线下培训课程为不同的内容，线上课程开展不低于5次，每次时长不低于45分钟，具备网络直播授课需求；整个培训计划采用线下培训会议和线上直播课程交叉进行。</w:t>
      </w:r>
    </w:p>
    <w:p w:rsidR="008E0591" w:rsidRPr="009303F4" w:rsidRDefault="008E0591" w:rsidP="008E0591">
      <w:pPr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八、所有培训课程（线上、线下）需提前提交中心部门审核后，方可实施。</w:t>
      </w:r>
    </w:p>
    <w:p w:rsidR="008E0591" w:rsidRPr="009303F4" w:rsidRDefault="008E0591" w:rsidP="008E0591">
      <w:pPr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9303F4">
        <w:rPr>
          <w:rFonts w:ascii="仿宋_GB2312" w:eastAsia="仿宋_GB2312" w:hAnsi="仿宋" w:cs="宋体" w:hint="eastAsia"/>
          <w:kern w:val="0"/>
          <w:sz w:val="32"/>
          <w:szCs w:val="32"/>
        </w:rPr>
        <w:t>九、协助采购方完成培训人员组织工作。</w:t>
      </w:r>
    </w:p>
    <w:p w:rsidR="008E0591" w:rsidRPr="008E0591" w:rsidRDefault="008E0591"/>
    <w:sectPr w:rsidR="008E0591" w:rsidRPr="008E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91"/>
    <w:rsid w:val="008E0591"/>
    <w:rsid w:val="00B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586D"/>
  <w15:chartTrackingRefBased/>
  <w15:docId w15:val="{4FEC13E9-7B87-4BC5-AF93-9293CFAC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2020-06-24T03:35:00Z</dcterms:created>
  <dcterms:modified xsi:type="dcterms:W3CDTF">2020-06-24T03:38:00Z</dcterms:modified>
</cp:coreProperties>
</file>