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B97E" w14:textId="77777777" w:rsidR="005C351E" w:rsidRDefault="005C351E" w:rsidP="005C351E">
      <w:pPr>
        <w:widowControl/>
        <w:spacing w:line="520" w:lineRule="exact"/>
        <w:jc w:val="left"/>
        <w:rPr>
          <w:rFonts w:ascii="华文仿宋" w:eastAsia="华文仿宋" w:hAnsi="华文仿宋" w:cs="宋体"/>
          <w:kern w:val="0"/>
          <w:sz w:val="32"/>
          <w:szCs w:val="32"/>
        </w:rPr>
      </w:pPr>
      <w:r>
        <w:rPr>
          <w:rFonts w:ascii="华文仿宋" w:eastAsia="华文仿宋" w:hAnsi="华文仿宋" w:cs="宋体" w:hint="eastAsia"/>
          <w:kern w:val="0"/>
          <w:sz w:val="32"/>
          <w:szCs w:val="32"/>
        </w:rPr>
        <w:t>附件1：</w:t>
      </w:r>
    </w:p>
    <w:p w14:paraId="4FA4EBD1" w14:textId="77777777" w:rsidR="005C351E" w:rsidRDefault="005C351E" w:rsidP="005C351E">
      <w:pPr>
        <w:widowControl/>
        <w:adjustRightInd w:val="0"/>
        <w:snapToGrid w:val="0"/>
        <w:spacing w:line="540" w:lineRule="exact"/>
        <w:jc w:val="center"/>
        <w:rPr>
          <w:rFonts w:ascii="方正仿宋_GBK" w:eastAsia="方正仿宋_GBK" w:hAnsi="黑体"/>
          <w:kern w:val="0"/>
          <w:sz w:val="32"/>
          <w:szCs w:val="32"/>
        </w:rPr>
      </w:pPr>
      <w:r>
        <w:rPr>
          <w:rFonts w:ascii="方正小标宋_GBK" w:eastAsia="方正小标宋_GBK" w:hAnsi="方正小标宋_GBK" w:cs="方正小标宋_GBK" w:hint="eastAsia"/>
          <w:kern w:val="0"/>
          <w:sz w:val="44"/>
          <w:szCs w:val="44"/>
          <w:lang w:eastAsia="zh-Hans"/>
        </w:rPr>
        <w:t>“川渝一家亲 共筑体彩梦”重庆体彩从业者赴四川交流学习活动策划及执行供应商采购相关要求</w:t>
      </w:r>
    </w:p>
    <w:p w14:paraId="04F790FD" w14:textId="77777777" w:rsidR="005C351E" w:rsidRDefault="005C351E" w:rsidP="005C351E">
      <w:pPr>
        <w:ind w:firstLineChars="300" w:firstLine="960"/>
        <w:rPr>
          <w:rFonts w:ascii="方正仿宋_GBK" w:eastAsia="方正仿宋_GBK" w:hAnsi="方正仿宋_GBK" w:cs="方正仿宋_GBK" w:hint="eastAsia"/>
          <w:bCs/>
          <w:color w:val="000000"/>
          <w:sz w:val="32"/>
          <w:szCs w:val="32"/>
        </w:rPr>
      </w:pPr>
    </w:p>
    <w:p w14:paraId="2881E825" w14:textId="77777777" w:rsidR="005C351E" w:rsidRDefault="005C351E" w:rsidP="005C351E">
      <w:pPr>
        <w:numPr>
          <w:ilvl w:val="0"/>
          <w:numId w:val="1"/>
        </w:numPr>
        <w:spacing w:line="560" w:lineRule="exact"/>
        <w:ind w:firstLine="960"/>
        <w:jc w:val="left"/>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sz w:val="32"/>
          <w:szCs w:val="32"/>
        </w:rPr>
        <w:t>活动内容</w:t>
      </w:r>
    </w:p>
    <w:p w14:paraId="1AB389B1" w14:textId="77777777" w:rsidR="005C351E" w:rsidRDefault="005C351E" w:rsidP="005C351E">
      <w:pPr>
        <w:spacing w:line="560" w:lineRule="exact"/>
        <w:ind w:firstLineChars="200" w:firstLine="640"/>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sz w:val="32"/>
          <w:szCs w:val="32"/>
        </w:rPr>
        <w:t>本次活动分为2批次，每批次人员约100人左右，时间共2天（2天1晚），活动执行方主要负责“川渝一家亲 共筑体彩梦”活动人员的组织、宣传权威认证（全国315、新闻稿</w:t>
      </w:r>
      <w:proofErr w:type="gramStart"/>
      <w:r>
        <w:rPr>
          <w:rFonts w:ascii="方正仿宋_GBK" w:eastAsia="方正仿宋_GBK" w:hAnsi="方正仿宋_GBK" w:cs="方正仿宋_GBK" w:hint="eastAsia"/>
          <w:bCs/>
          <w:color w:val="000000"/>
          <w:sz w:val="32"/>
          <w:szCs w:val="32"/>
        </w:rPr>
        <w:t>全国级不少于</w:t>
      </w:r>
      <w:proofErr w:type="gramEnd"/>
      <w:r>
        <w:rPr>
          <w:rFonts w:ascii="方正仿宋_GBK" w:eastAsia="方正仿宋_GBK" w:hAnsi="方正仿宋_GBK" w:cs="方正仿宋_GBK" w:hint="eastAsia"/>
          <w:bCs/>
          <w:color w:val="000000"/>
          <w:sz w:val="32"/>
          <w:szCs w:val="32"/>
        </w:rPr>
        <w:t>3篇等）、交通、食宿、安全等工作。活动分为2个部分，第一部分：出征仪式；第二部分：四川交流学习行程差旅。</w:t>
      </w:r>
    </w:p>
    <w:p w14:paraId="74B61241" w14:textId="77777777" w:rsidR="005C351E" w:rsidRDefault="005C351E" w:rsidP="005C351E">
      <w:pPr>
        <w:spacing w:line="560" w:lineRule="exact"/>
        <w:ind w:firstLineChars="200" w:firstLine="640"/>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sz w:val="32"/>
          <w:szCs w:val="32"/>
        </w:rPr>
        <w:t>二、时间安排</w:t>
      </w:r>
    </w:p>
    <w:p w14:paraId="07E74858" w14:textId="77777777" w:rsidR="005C351E" w:rsidRDefault="005C351E" w:rsidP="005C351E">
      <w:pPr>
        <w:spacing w:line="560" w:lineRule="exact"/>
        <w:ind w:firstLineChars="200" w:firstLine="640"/>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sz w:val="32"/>
          <w:szCs w:val="32"/>
        </w:rPr>
        <w:t>本次活动时间预计在7月底-8月初，具体安排包括到四川至少2个城市感受当地体彩顶</w:t>
      </w:r>
      <w:proofErr w:type="gramStart"/>
      <w:r>
        <w:rPr>
          <w:rFonts w:ascii="方正仿宋_GBK" w:eastAsia="方正仿宋_GBK" w:hAnsi="方正仿宋_GBK" w:cs="方正仿宋_GBK" w:hint="eastAsia"/>
          <w:bCs/>
          <w:color w:val="000000"/>
          <w:sz w:val="32"/>
          <w:szCs w:val="32"/>
        </w:rPr>
        <w:t>呱</w:t>
      </w:r>
      <w:proofErr w:type="gramEnd"/>
      <w:r>
        <w:rPr>
          <w:rFonts w:ascii="方正仿宋_GBK" w:eastAsia="方正仿宋_GBK" w:hAnsi="方正仿宋_GBK" w:cs="方正仿宋_GBK" w:hint="eastAsia"/>
          <w:bCs/>
          <w:color w:val="000000"/>
          <w:sz w:val="32"/>
          <w:szCs w:val="32"/>
        </w:rPr>
        <w:t>刮氛围；到当地的体彩实体</w:t>
      </w:r>
      <w:proofErr w:type="gramStart"/>
      <w:r>
        <w:rPr>
          <w:rFonts w:ascii="方正仿宋_GBK" w:eastAsia="方正仿宋_GBK" w:hAnsi="方正仿宋_GBK" w:cs="方正仿宋_GBK" w:hint="eastAsia"/>
          <w:bCs/>
          <w:color w:val="000000"/>
          <w:sz w:val="32"/>
          <w:szCs w:val="32"/>
        </w:rPr>
        <w:t>店交流</w:t>
      </w:r>
      <w:proofErr w:type="gramEnd"/>
      <w:r>
        <w:rPr>
          <w:rFonts w:ascii="方正仿宋_GBK" w:eastAsia="方正仿宋_GBK" w:hAnsi="方正仿宋_GBK" w:cs="方正仿宋_GBK" w:hint="eastAsia"/>
          <w:bCs/>
          <w:color w:val="000000"/>
          <w:sz w:val="32"/>
          <w:szCs w:val="32"/>
        </w:rPr>
        <w:t>学习。</w:t>
      </w:r>
    </w:p>
    <w:p w14:paraId="4ECF0DD7" w14:textId="77777777" w:rsidR="005C351E" w:rsidRDefault="005C351E" w:rsidP="005C351E">
      <w:pPr>
        <w:spacing w:line="560" w:lineRule="exact"/>
        <w:ind w:firstLineChars="200" w:firstLine="640"/>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sz w:val="32"/>
          <w:szCs w:val="32"/>
        </w:rPr>
        <w:t>出征仪式物料必须包含：拍照横幅，扇子等小礼物、矿泉水等。</w:t>
      </w:r>
    </w:p>
    <w:p w14:paraId="7852E1F2" w14:textId="77777777" w:rsidR="005C351E" w:rsidRDefault="005C351E" w:rsidP="005C351E">
      <w:pPr>
        <w:spacing w:line="560" w:lineRule="exact"/>
        <w:ind w:firstLineChars="200" w:firstLine="640"/>
        <w:rPr>
          <w:rFonts w:ascii="方正仿宋_GBK" w:eastAsia="方正仿宋_GBK" w:hAnsi="方正仿宋_GBK" w:cs="方正仿宋_GBK" w:hint="eastAsia"/>
          <w:bCs/>
          <w:color w:val="000000"/>
          <w:sz w:val="32"/>
          <w:szCs w:val="32"/>
        </w:rPr>
      </w:pPr>
      <w:r>
        <w:rPr>
          <w:rFonts w:ascii="方正仿宋_GBK" w:eastAsia="方正仿宋_GBK" w:hAnsi="方正仿宋_GBK" w:cs="方正仿宋_GBK" w:hint="eastAsia"/>
          <w:bCs/>
          <w:color w:val="000000"/>
          <w:sz w:val="32"/>
          <w:szCs w:val="32"/>
        </w:rPr>
        <w:t>三、四川交流学习整个行程差旅费，全程交通费、住宿（安全卫生，不低于3星）、用餐（单人单日就餐标准100元），保险（负责整个团队购买保险等费用以确保全程安全工作，并提供应急预案。）、饮用水提供、常备药品、核酸检测（若需要）都由供应商负责。</w:t>
      </w:r>
    </w:p>
    <w:p w14:paraId="1EB2EFE3" w14:textId="77777777" w:rsidR="005C351E" w:rsidRDefault="005C351E" w:rsidP="005C351E">
      <w:pPr>
        <w:spacing w:line="560" w:lineRule="exact"/>
        <w:ind w:firstLineChars="200" w:firstLine="640"/>
      </w:pPr>
      <w:r>
        <w:rPr>
          <w:rFonts w:ascii="方正仿宋_GBK" w:eastAsia="方正仿宋_GBK" w:hAnsi="方正仿宋_GBK" w:cs="方正仿宋_GBK" w:hint="eastAsia"/>
          <w:bCs/>
          <w:color w:val="000000"/>
          <w:sz w:val="32"/>
          <w:szCs w:val="32"/>
        </w:rPr>
        <w:t>四、本次活动包含主持人，工作人员，后勤保障人员，</w:t>
      </w:r>
      <w:r>
        <w:rPr>
          <w:rFonts w:ascii="方正仿宋_GBK" w:eastAsia="方正仿宋_GBK" w:hAnsi="方正仿宋_GBK" w:cs="方正仿宋_GBK" w:hint="eastAsia"/>
          <w:bCs/>
          <w:color w:val="000000"/>
          <w:sz w:val="32"/>
          <w:szCs w:val="32"/>
        </w:rPr>
        <w:lastRenderedPageBreak/>
        <w:t>摄影师，摄像师。工作人员负责制定执行方案，现场组织，统筹，协调工作，提供活动前、中、后期的宣传文案，不少于2篇，负责行程中的后勤保障工作，不少于2人。活动全程的摄影，摄像，包含照片精修及15s/30s/60s小视频制作不少于2个。</w:t>
      </w:r>
    </w:p>
    <w:p w14:paraId="51A98B64" w14:textId="77777777" w:rsidR="005C351E" w:rsidRDefault="005C351E" w:rsidP="005C351E">
      <w:pPr>
        <w:spacing w:line="560" w:lineRule="exact"/>
      </w:pPr>
    </w:p>
    <w:p w14:paraId="70555072" w14:textId="77777777" w:rsidR="005C351E" w:rsidRDefault="005C351E" w:rsidP="005C351E">
      <w:pPr>
        <w:spacing w:line="560" w:lineRule="exact"/>
      </w:pPr>
    </w:p>
    <w:p w14:paraId="13FC0C72" w14:textId="77777777" w:rsidR="005C351E" w:rsidRDefault="005C351E" w:rsidP="005C351E">
      <w:pPr>
        <w:spacing w:line="560" w:lineRule="exact"/>
        <w:rPr>
          <w:sz w:val="32"/>
          <w:szCs w:val="32"/>
        </w:rPr>
      </w:pPr>
    </w:p>
    <w:p w14:paraId="47761B99" w14:textId="77777777" w:rsidR="005C351E" w:rsidRDefault="005C351E" w:rsidP="005C351E">
      <w:pPr>
        <w:spacing w:line="560" w:lineRule="exact"/>
        <w:ind w:firstLineChars="200" w:firstLine="640"/>
        <w:rPr>
          <w:rFonts w:ascii="方正仿宋_GBK" w:eastAsia="方正仿宋_GBK" w:hint="eastAsia"/>
          <w:sz w:val="32"/>
          <w:szCs w:val="32"/>
        </w:rPr>
      </w:pPr>
    </w:p>
    <w:p w14:paraId="190DA08A"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3AD48D73"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07433AEA"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3937D715"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2E4323AF"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60BCCF5B"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466BCDA5"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30BD08E3"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5F0AAD0D"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379DBB97"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393270F7"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5F2476CA"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14EE1307"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0C5CBFC0"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5D34D1CF" w14:textId="77777777" w:rsidR="005C351E" w:rsidRDefault="005C351E" w:rsidP="005C351E">
      <w:pPr>
        <w:widowControl/>
        <w:snapToGrid w:val="0"/>
        <w:spacing w:line="560" w:lineRule="exact"/>
        <w:jc w:val="left"/>
        <w:rPr>
          <w:rFonts w:ascii="仿宋_GB2312" w:eastAsia="仿宋_GB2312" w:hAnsi="华文仿宋" w:cs="宋体" w:hint="eastAsia"/>
          <w:kern w:val="0"/>
          <w:sz w:val="32"/>
          <w:szCs w:val="32"/>
        </w:rPr>
      </w:pPr>
    </w:p>
    <w:p w14:paraId="645C67A7" w14:textId="77777777" w:rsidR="000B3209" w:rsidRPr="005C351E" w:rsidRDefault="000B3209"/>
    <w:sectPr w:rsidR="000B3209" w:rsidRPr="005C35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86BCBD"/>
    <w:multiLevelType w:val="singleLevel"/>
    <w:tmpl w:val="F286BCBD"/>
    <w:lvl w:ilvl="0">
      <w:start w:val="1"/>
      <w:numFmt w:val="chineseCounting"/>
      <w:suff w:val="nothing"/>
      <w:lvlText w:val="%1、"/>
      <w:lvlJc w:val="left"/>
      <w:pPr>
        <w:ind w:left="-330"/>
      </w:pPr>
      <w:rPr>
        <w:rFonts w:hint="eastAsia"/>
      </w:rPr>
    </w:lvl>
  </w:abstractNum>
  <w:num w:numId="1" w16cid:durableId="1314986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1E"/>
    <w:rsid w:val="000B3209"/>
    <w:rsid w:val="005C3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5C4E"/>
  <w15:chartTrackingRefBased/>
  <w15:docId w15:val="{26D15483-065F-4057-B4CD-B5FC15F2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51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2022-07-12T03:06:00Z</dcterms:created>
  <dcterms:modified xsi:type="dcterms:W3CDTF">2022-07-12T03:06:00Z</dcterms:modified>
</cp:coreProperties>
</file>