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D8F5" w14:textId="77777777" w:rsidR="00FF36DB" w:rsidRDefault="00FF36DB" w:rsidP="00FF36DB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  <w:lang w:eastAsia="zh-Hans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  <w:lang w:eastAsia="zh-Hans"/>
        </w:rPr>
        <w:t>附件1：</w:t>
      </w:r>
    </w:p>
    <w:p w14:paraId="3ADD1D86" w14:textId="77777777" w:rsidR="00FF36DB" w:rsidRDefault="00FF36DB" w:rsidP="00FF36DB">
      <w:pPr>
        <w:spacing w:line="560" w:lineRule="exact"/>
        <w:ind w:left="880" w:hangingChars="200" w:hanging="880"/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2024年品牌联名</w:t>
      </w:r>
      <w:proofErr w:type="gramStart"/>
      <w:r>
        <w:rPr>
          <w:rFonts w:ascii="方正小标宋_GBK" w:eastAsia="方正小标宋_GBK" w:hAnsi="黑体" w:hint="eastAsia"/>
          <w:sz w:val="44"/>
          <w:szCs w:val="44"/>
        </w:rPr>
        <w:t>拉新推广</w:t>
      </w:r>
      <w:proofErr w:type="gramEnd"/>
      <w:r>
        <w:rPr>
          <w:rFonts w:ascii="方正小标宋_GBK" w:eastAsia="方正小标宋_GBK" w:hAnsi="黑体" w:hint="eastAsia"/>
          <w:sz w:val="44"/>
          <w:szCs w:val="44"/>
        </w:rPr>
        <w:t>营销活动</w:t>
      </w:r>
    </w:p>
    <w:p w14:paraId="4FC27472" w14:textId="77777777" w:rsidR="00FF36DB" w:rsidRDefault="00FF36DB" w:rsidP="00FF36DB">
      <w:pPr>
        <w:spacing w:line="560" w:lineRule="exact"/>
        <w:ind w:left="880" w:hangingChars="200" w:hanging="88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相关要求</w:t>
      </w:r>
    </w:p>
    <w:p w14:paraId="71FA204A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为了</w:t>
      </w:r>
      <w:r>
        <w:rPr>
          <w:rFonts w:ascii="方正仿宋_GBK" w:eastAsia="方正仿宋_GBK" w:hint="eastAsia"/>
          <w:sz w:val="32"/>
          <w:szCs w:val="32"/>
        </w:rPr>
        <w:t>让</w:t>
      </w:r>
      <w:r>
        <w:rPr>
          <w:rFonts w:ascii="方正仿宋_GBK" w:eastAsia="方正仿宋_GBK" w:hint="eastAsia"/>
          <w:sz w:val="32"/>
          <w:szCs w:val="32"/>
          <w:lang w:eastAsia="zh-Hans"/>
        </w:rPr>
        <w:t>更多市民了解体彩大乐透，实现品牌</w:t>
      </w:r>
      <w:r>
        <w:rPr>
          <w:rFonts w:ascii="方正仿宋_GBK" w:eastAsia="方正仿宋_GBK" w:hint="eastAsia"/>
          <w:sz w:val="32"/>
          <w:szCs w:val="32"/>
        </w:rPr>
        <w:t>知名度</w:t>
      </w:r>
      <w:r>
        <w:rPr>
          <w:rFonts w:ascii="方正仿宋_GBK" w:eastAsia="方正仿宋_GBK" w:hint="eastAsia"/>
          <w:sz w:val="32"/>
          <w:szCs w:val="32"/>
          <w:lang w:eastAsia="zh-Hans"/>
        </w:rPr>
        <w:t>的进一步提升，</w:t>
      </w:r>
      <w:r>
        <w:rPr>
          <w:rFonts w:ascii="方正仿宋_GBK" w:eastAsia="方正仿宋_GBK" w:hint="eastAsia"/>
          <w:sz w:val="32"/>
          <w:szCs w:val="32"/>
        </w:rPr>
        <w:t>实现</w:t>
      </w:r>
      <w:r>
        <w:rPr>
          <w:rFonts w:ascii="方正仿宋_GBK" w:eastAsia="方正仿宋_GBK" w:hint="eastAsia"/>
          <w:sz w:val="32"/>
          <w:szCs w:val="32"/>
          <w:lang w:eastAsia="zh-Hans"/>
        </w:rPr>
        <w:t>“拉新培育，扩大购彩群体”</w:t>
      </w:r>
      <w:r>
        <w:rPr>
          <w:rFonts w:ascii="方正仿宋_GBK" w:eastAsia="方正仿宋_GBK" w:hint="eastAsia"/>
          <w:sz w:val="32"/>
          <w:szCs w:val="32"/>
        </w:rPr>
        <w:t>的目标。采购人计划</w:t>
      </w:r>
      <w:r>
        <w:rPr>
          <w:rFonts w:ascii="方正仿宋_GBK" w:eastAsia="方正仿宋_GBK" w:hint="eastAsia"/>
          <w:sz w:val="32"/>
          <w:szCs w:val="32"/>
          <w:lang w:eastAsia="zh-Hans"/>
        </w:rPr>
        <w:t>与</w:t>
      </w:r>
      <w:r>
        <w:rPr>
          <w:rFonts w:ascii="方正仿宋_GBK" w:eastAsia="方正仿宋_GBK" w:hint="eastAsia"/>
          <w:sz w:val="32"/>
          <w:szCs w:val="32"/>
        </w:rPr>
        <w:t>快递行业品牌（以下简称联名品牌）进行跨界联名</w:t>
      </w:r>
      <w:r>
        <w:rPr>
          <w:rFonts w:ascii="方正仿宋_GBK" w:eastAsia="方正仿宋_GBK" w:hint="eastAsia"/>
          <w:sz w:val="32"/>
          <w:szCs w:val="32"/>
          <w:lang w:eastAsia="zh-Hans"/>
        </w:rPr>
        <w:t>合作，利用</w:t>
      </w:r>
      <w:r>
        <w:rPr>
          <w:rFonts w:ascii="方正仿宋_GBK" w:eastAsia="方正仿宋_GBK" w:hint="eastAsia"/>
          <w:sz w:val="32"/>
          <w:szCs w:val="32"/>
        </w:rPr>
        <w:t>合作品牌的</w:t>
      </w:r>
      <w:r>
        <w:rPr>
          <w:rFonts w:ascii="方正仿宋_GBK" w:eastAsia="方正仿宋_GBK" w:hint="eastAsia"/>
          <w:sz w:val="32"/>
          <w:szCs w:val="32"/>
          <w:lang w:eastAsia="zh-Hans"/>
        </w:rPr>
        <w:t>会员</w:t>
      </w:r>
      <w:r>
        <w:rPr>
          <w:rFonts w:ascii="方正仿宋_GBK" w:eastAsia="方正仿宋_GBK" w:hint="eastAsia"/>
          <w:sz w:val="32"/>
          <w:szCs w:val="32"/>
        </w:rPr>
        <w:t>基数优势</w:t>
      </w:r>
      <w:r>
        <w:rPr>
          <w:rFonts w:ascii="方正仿宋_GBK" w:eastAsia="方正仿宋_GBK" w:hint="eastAsia"/>
          <w:sz w:val="32"/>
          <w:szCs w:val="32"/>
          <w:lang w:eastAsia="zh-Hans"/>
        </w:rPr>
        <w:t>开展线上</w:t>
      </w:r>
      <w:proofErr w:type="gramStart"/>
      <w:r>
        <w:rPr>
          <w:rFonts w:ascii="方正仿宋_GBK" w:eastAsia="方正仿宋_GBK" w:hint="eastAsia"/>
          <w:sz w:val="32"/>
          <w:szCs w:val="32"/>
          <w:lang w:eastAsia="zh-Hans"/>
        </w:rPr>
        <w:t>拉新推广</w:t>
      </w:r>
      <w:proofErr w:type="gramEnd"/>
      <w:r>
        <w:rPr>
          <w:rFonts w:ascii="方正仿宋_GBK" w:eastAsia="方正仿宋_GBK" w:hint="eastAsia"/>
          <w:sz w:val="32"/>
          <w:szCs w:val="32"/>
          <w:lang w:eastAsia="zh-Hans"/>
        </w:rPr>
        <w:t>宣传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  <w:lang w:eastAsia="zh-Hans"/>
        </w:rPr>
        <w:t>同时</w:t>
      </w:r>
      <w:r>
        <w:rPr>
          <w:rFonts w:ascii="方正仿宋_GBK" w:eastAsia="方正仿宋_GBK" w:hint="eastAsia"/>
          <w:sz w:val="32"/>
          <w:szCs w:val="32"/>
        </w:rPr>
        <w:t>，在人流较大的商业综合体（商业街）联合</w:t>
      </w:r>
      <w:r>
        <w:rPr>
          <w:rFonts w:ascii="方正仿宋_GBK" w:eastAsia="方正仿宋_GBK" w:hint="eastAsia"/>
          <w:sz w:val="32"/>
          <w:szCs w:val="32"/>
          <w:lang w:eastAsia="zh-Hans"/>
        </w:rPr>
        <w:t>开展线下品牌</w:t>
      </w:r>
      <w:r>
        <w:rPr>
          <w:rFonts w:ascii="方正仿宋_GBK" w:eastAsia="方正仿宋_GBK" w:hint="eastAsia"/>
          <w:sz w:val="32"/>
          <w:szCs w:val="32"/>
        </w:rPr>
        <w:t>联名</w:t>
      </w:r>
      <w:r>
        <w:rPr>
          <w:rFonts w:ascii="方正仿宋_GBK" w:eastAsia="方正仿宋_GBK" w:hint="eastAsia"/>
          <w:sz w:val="32"/>
          <w:szCs w:val="32"/>
          <w:lang w:eastAsia="zh-Hans"/>
        </w:rPr>
        <w:t>推广宣传</w:t>
      </w:r>
      <w:r>
        <w:rPr>
          <w:rFonts w:ascii="方正仿宋_GBK" w:eastAsia="方正仿宋_GBK" w:hint="eastAsia"/>
          <w:sz w:val="32"/>
          <w:szCs w:val="32"/>
        </w:rPr>
        <w:t>地推活动</w:t>
      </w:r>
      <w:r>
        <w:rPr>
          <w:rFonts w:ascii="方正仿宋_GBK" w:eastAsia="方正仿宋_GBK" w:hint="eastAsia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</w:rPr>
        <w:t>用创意互动的</w:t>
      </w:r>
      <w:r>
        <w:rPr>
          <w:rFonts w:ascii="方正仿宋_GBK" w:eastAsia="方正仿宋_GBK" w:hint="eastAsia"/>
          <w:sz w:val="32"/>
          <w:szCs w:val="32"/>
          <w:lang w:eastAsia="zh-Hans"/>
        </w:rPr>
        <w:t>游戏</w:t>
      </w:r>
      <w:r>
        <w:rPr>
          <w:rFonts w:ascii="方正仿宋_GBK" w:eastAsia="方正仿宋_GBK" w:hint="eastAsia"/>
          <w:sz w:val="32"/>
          <w:szCs w:val="32"/>
        </w:rPr>
        <w:t>环节</w:t>
      </w:r>
      <w:r>
        <w:rPr>
          <w:rFonts w:ascii="方正仿宋_GBK" w:eastAsia="方正仿宋_GBK" w:hint="eastAsia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</w:rPr>
        <w:t>在新春到来之际</w:t>
      </w:r>
      <w:r>
        <w:rPr>
          <w:rFonts w:ascii="方正仿宋_GBK" w:eastAsia="方正仿宋_GBK" w:hint="eastAsia"/>
          <w:sz w:val="32"/>
          <w:szCs w:val="32"/>
          <w:lang w:eastAsia="zh-Hans"/>
        </w:rPr>
        <w:t>增加</w:t>
      </w:r>
      <w:r>
        <w:rPr>
          <w:rFonts w:ascii="方正仿宋_GBK" w:eastAsia="方正仿宋_GBK" w:hint="eastAsia"/>
          <w:sz w:val="32"/>
          <w:szCs w:val="32"/>
        </w:rPr>
        <w:t>地推活动</w:t>
      </w:r>
      <w:r>
        <w:rPr>
          <w:rFonts w:ascii="方正仿宋_GBK" w:eastAsia="方正仿宋_GBK" w:hint="eastAsia"/>
          <w:sz w:val="32"/>
          <w:szCs w:val="32"/>
          <w:lang w:eastAsia="zh-Hans"/>
        </w:rPr>
        <w:t>的趣味性，提升</w:t>
      </w:r>
      <w:r>
        <w:rPr>
          <w:rFonts w:ascii="方正仿宋_GBK" w:eastAsia="方正仿宋_GBK" w:hint="eastAsia"/>
          <w:sz w:val="32"/>
          <w:szCs w:val="32"/>
        </w:rPr>
        <w:t>购彩者</w:t>
      </w:r>
      <w:r>
        <w:rPr>
          <w:rFonts w:ascii="方正仿宋_GBK" w:eastAsia="方正仿宋_GBK" w:hint="eastAsia"/>
          <w:sz w:val="32"/>
          <w:szCs w:val="32"/>
          <w:lang w:eastAsia="zh-Hans"/>
        </w:rPr>
        <w:t>的</w:t>
      </w:r>
      <w:r>
        <w:rPr>
          <w:rFonts w:ascii="方正仿宋_GBK" w:eastAsia="方正仿宋_GBK" w:hint="eastAsia"/>
          <w:sz w:val="32"/>
          <w:szCs w:val="32"/>
        </w:rPr>
        <w:t>品牌</w:t>
      </w:r>
      <w:r>
        <w:rPr>
          <w:rFonts w:ascii="方正仿宋_GBK" w:eastAsia="方正仿宋_GBK" w:hint="eastAsia"/>
          <w:sz w:val="32"/>
          <w:szCs w:val="32"/>
          <w:lang w:eastAsia="zh-Hans"/>
        </w:rPr>
        <w:t>粘性，开拓流量池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以期实现体彩品牌影响力攀升。具体</w:t>
      </w:r>
      <w:r>
        <w:rPr>
          <w:rFonts w:ascii="方正仿宋_GBK" w:eastAsia="方正仿宋_GBK" w:hint="eastAsia"/>
          <w:sz w:val="32"/>
          <w:szCs w:val="32"/>
        </w:rPr>
        <w:t>要求如下</w:t>
      </w:r>
      <w:r>
        <w:rPr>
          <w:rFonts w:ascii="方正仿宋_GBK" w:eastAsia="方正仿宋_GBK" w:hint="eastAsia"/>
          <w:sz w:val="32"/>
          <w:szCs w:val="32"/>
          <w:lang w:eastAsia="zh-Hans"/>
        </w:rPr>
        <w:t xml:space="preserve">： </w:t>
      </w:r>
    </w:p>
    <w:p w14:paraId="23B59FC9" w14:textId="77777777" w:rsidR="00FF36DB" w:rsidRDefault="00FF36DB" w:rsidP="00FF36DB">
      <w:pPr>
        <w:numPr>
          <w:ilvl w:val="0"/>
          <w:numId w:val="1"/>
        </w:numPr>
        <w:spacing w:line="520" w:lineRule="exact"/>
        <w:ind w:firstLineChars="200" w:firstLine="643"/>
        <w:jc w:val="left"/>
        <w:rPr>
          <w:rFonts w:ascii="仿宋" w:eastAsia="仿宋" w:hAnsi="仿宋" w:cs="方正仿宋_GBK"/>
          <w:b/>
          <w:sz w:val="32"/>
          <w:szCs w:val="32"/>
          <w:lang w:eastAsia="zh-Hans"/>
        </w:rPr>
      </w:pPr>
      <w:r>
        <w:rPr>
          <w:rFonts w:ascii="仿宋" w:eastAsia="仿宋" w:hAnsi="仿宋" w:cs="方正仿宋_GBK" w:hint="eastAsia"/>
          <w:b/>
          <w:sz w:val="32"/>
          <w:szCs w:val="32"/>
          <w:lang w:eastAsia="zh-Hans"/>
        </w:rPr>
        <w:t>活动时间</w:t>
      </w:r>
    </w:p>
    <w:p w14:paraId="09BFA0E3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20</w:t>
      </w:r>
      <w:r>
        <w:rPr>
          <w:rFonts w:ascii="方正仿宋_GBK" w:eastAsia="方正仿宋_GBK" w:hint="eastAsia"/>
          <w:sz w:val="32"/>
          <w:szCs w:val="32"/>
        </w:rPr>
        <w:t>24</w:t>
      </w:r>
      <w:r>
        <w:rPr>
          <w:rFonts w:ascii="方正仿宋_GBK" w:eastAsia="方正仿宋_GBK" w:hint="eastAsia"/>
          <w:sz w:val="32"/>
          <w:szCs w:val="32"/>
          <w:lang w:eastAsia="zh-Hans"/>
        </w:rPr>
        <w:t>年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  <w:lang w:eastAsia="zh-Hans"/>
        </w:rPr>
        <w:t>月</w:t>
      </w: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  <w:lang w:eastAsia="zh-Hans"/>
        </w:rPr>
        <w:t>日之前完成</w:t>
      </w:r>
    </w:p>
    <w:p w14:paraId="178BE727" w14:textId="77777777" w:rsidR="00FF36DB" w:rsidRDefault="00FF36DB" w:rsidP="00FF36DB">
      <w:pPr>
        <w:numPr>
          <w:ilvl w:val="0"/>
          <w:numId w:val="1"/>
        </w:numPr>
        <w:spacing w:line="520" w:lineRule="exact"/>
        <w:ind w:firstLineChars="200" w:firstLine="643"/>
        <w:jc w:val="left"/>
        <w:rPr>
          <w:rFonts w:ascii="仿宋" w:eastAsia="仿宋" w:hAnsi="仿宋" w:cs="方正仿宋_GBK" w:hint="eastAsia"/>
          <w:b/>
          <w:sz w:val="32"/>
          <w:szCs w:val="32"/>
          <w:lang w:eastAsia="zh-Hans"/>
        </w:rPr>
      </w:pPr>
      <w:r>
        <w:rPr>
          <w:rFonts w:ascii="仿宋" w:eastAsia="仿宋" w:hAnsi="仿宋" w:cs="方正仿宋_GBK" w:hint="eastAsia"/>
          <w:b/>
          <w:sz w:val="32"/>
          <w:szCs w:val="32"/>
          <w:lang w:eastAsia="zh-Hans"/>
        </w:rPr>
        <w:t>活动地点</w:t>
      </w:r>
    </w:p>
    <w:p w14:paraId="6D2F8FF8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重庆市</w:t>
      </w:r>
      <w:r>
        <w:rPr>
          <w:rFonts w:ascii="方正仿宋_GBK" w:eastAsia="方正仿宋_GBK" w:hint="eastAsia"/>
          <w:sz w:val="32"/>
          <w:szCs w:val="32"/>
        </w:rPr>
        <w:t>人流密集的</w:t>
      </w:r>
      <w:r>
        <w:rPr>
          <w:rFonts w:ascii="方正仿宋_GBK" w:eastAsia="方正仿宋_GBK" w:hint="eastAsia"/>
          <w:sz w:val="32"/>
          <w:szCs w:val="32"/>
          <w:lang w:eastAsia="zh-Hans"/>
        </w:rPr>
        <w:t>商业综合体</w:t>
      </w:r>
      <w:r>
        <w:rPr>
          <w:rFonts w:ascii="方正仿宋_GBK" w:eastAsia="方正仿宋_GBK" w:hint="eastAsia"/>
          <w:sz w:val="32"/>
          <w:szCs w:val="32"/>
        </w:rPr>
        <w:t>（商业街）</w:t>
      </w:r>
    </w:p>
    <w:p w14:paraId="54B2FDE6" w14:textId="77777777" w:rsidR="00FF36DB" w:rsidRDefault="00FF36DB" w:rsidP="00FF36DB">
      <w:pPr>
        <w:numPr>
          <w:ilvl w:val="0"/>
          <w:numId w:val="1"/>
        </w:numPr>
        <w:spacing w:line="520" w:lineRule="exact"/>
        <w:ind w:firstLineChars="200" w:firstLine="643"/>
        <w:jc w:val="left"/>
        <w:rPr>
          <w:rFonts w:ascii="仿宋" w:eastAsia="仿宋" w:hAnsi="仿宋" w:cs="方正仿宋_GBK" w:hint="eastAsia"/>
          <w:b/>
          <w:sz w:val="32"/>
          <w:szCs w:val="32"/>
          <w:lang w:eastAsia="zh-Hans"/>
        </w:rPr>
      </w:pPr>
      <w:r>
        <w:rPr>
          <w:rFonts w:ascii="仿宋" w:eastAsia="仿宋" w:hAnsi="仿宋" w:cs="方正仿宋_GBK" w:hint="eastAsia"/>
          <w:b/>
          <w:sz w:val="32"/>
          <w:szCs w:val="32"/>
          <w:lang w:eastAsia="zh-Hans"/>
        </w:rPr>
        <w:t>目标用户</w:t>
      </w:r>
    </w:p>
    <w:p w14:paraId="71C35477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青年群体、年轻家庭和商务客群</w:t>
      </w:r>
    </w:p>
    <w:p w14:paraId="6D8C595B" w14:textId="77777777" w:rsidR="00FF36DB" w:rsidRDefault="00FF36DB" w:rsidP="00FF36DB">
      <w:pPr>
        <w:numPr>
          <w:ilvl w:val="0"/>
          <w:numId w:val="1"/>
        </w:numPr>
        <w:spacing w:line="520" w:lineRule="exact"/>
        <w:ind w:firstLineChars="200" w:firstLine="643"/>
        <w:jc w:val="left"/>
        <w:rPr>
          <w:rFonts w:ascii="仿宋" w:eastAsia="仿宋" w:hAnsi="仿宋" w:cs="方正仿宋_GBK" w:hint="eastAsia"/>
          <w:b/>
          <w:sz w:val="32"/>
          <w:szCs w:val="32"/>
          <w:lang w:eastAsia="zh-Hans"/>
        </w:rPr>
      </w:pPr>
      <w:r>
        <w:rPr>
          <w:rFonts w:ascii="仿宋" w:eastAsia="仿宋" w:hAnsi="仿宋" w:cs="方正仿宋_GBK" w:hint="eastAsia"/>
          <w:b/>
          <w:sz w:val="32"/>
          <w:szCs w:val="32"/>
          <w:lang w:eastAsia="zh-Hans"/>
        </w:rPr>
        <w:t>活动目的</w:t>
      </w:r>
    </w:p>
    <w:p w14:paraId="3C4CE947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（一）拉新培育，扩大购彩群体</w:t>
      </w:r>
    </w:p>
    <w:p w14:paraId="6D9E0DF3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通过主城多个区域核心商圈的线下推广，吸附更广域的流量参与活动，维系老用户，带动新用户，从而助力销售转化。</w:t>
      </w:r>
    </w:p>
    <w:p w14:paraId="638A1637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>
        <w:rPr>
          <w:rFonts w:ascii="方正仿宋_GBK" w:eastAsia="方正仿宋_GBK" w:hint="eastAsia"/>
          <w:sz w:val="32"/>
          <w:szCs w:val="32"/>
          <w:lang w:eastAsia="zh-Hans"/>
        </w:rPr>
        <w:t>夯实形象，传播愉悦</w:t>
      </w:r>
    </w:p>
    <w:p w14:paraId="43832E65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以良好的品牌视觉与推广语言，塑造并夯实品牌新形象，增强品牌识别度与好感度，有效传递公益事业的精神</w:t>
      </w:r>
      <w:r>
        <w:rPr>
          <w:rFonts w:ascii="方正仿宋_GBK" w:eastAsia="方正仿宋_GBK" w:hint="eastAsia"/>
          <w:sz w:val="32"/>
          <w:szCs w:val="32"/>
          <w:lang w:eastAsia="zh-Hans"/>
        </w:rPr>
        <w:lastRenderedPageBreak/>
        <w:t>价值。</w:t>
      </w:r>
    </w:p>
    <w:p w14:paraId="1A97C08B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（三）成为城市级品牌地推事件</w:t>
      </w:r>
    </w:p>
    <w:p w14:paraId="4AC264E5" w14:textId="77777777" w:rsidR="00FF36DB" w:rsidRDefault="00FF36DB" w:rsidP="00FF36DB">
      <w:p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依托多渠道且立体的线上线下推广传播与</w:t>
      </w:r>
      <w:r>
        <w:rPr>
          <w:rFonts w:ascii="方正仿宋_GBK" w:eastAsia="方正仿宋_GBK" w:hint="eastAsia"/>
          <w:sz w:val="32"/>
          <w:szCs w:val="32"/>
        </w:rPr>
        <w:t>跨界品牌</w:t>
      </w:r>
      <w:r>
        <w:rPr>
          <w:rFonts w:ascii="方正仿宋_GBK" w:eastAsia="方正仿宋_GBK" w:hint="eastAsia"/>
          <w:sz w:val="32"/>
          <w:szCs w:val="32"/>
          <w:lang w:eastAsia="zh-Hans"/>
        </w:rPr>
        <w:t>自身的品牌效能，实现曝光量，成为城市级的品牌地推事件。</w:t>
      </w:r>
    </w:p>
    <w:p w14:paraId="1EA57B36" w14:textId="77777777" w:rsidR="00FF36DB" w:rsidRDefault="00FF36DB" w:rsidP="00FF36DB">
      <w:pPr>
        <w:numPr>
          <w:ilvl w:val="0"/>
          <w:numId w:val="1"/>
        </w:numPr>
        <w:spacing w:line="520" w:lineRule="exact"/>
        <w:ind w:firstLineChars="200" w:firstLine="643"/>
        <w:jc w:val="left"/>
        <w:rPr>
          <w:rFonts w:ascii="仿宋" w:eastAsia="仿宋" w:hAnsi="仿宋" w:cs="方正仿宋_GBK" w:hint="eastAsia"/>
          <w:b/>
          <w:sz w:val="32"/>
          <w:szCs w:val="32"/>
          <w:lang w:eastAsia="zh-Hans"/>
        </w:rPr>
      </w:pPr>
      <w:r>
        <w:rPr>
          <w:rFonts w:ascii="仿宋" w:eastAsia="仿宋" w:hAnsi="仿宋" w:cs="方正仿宋_GBK" w:hint="eastAsia"/>
          <w:b/>
          <w:sz w:val="32"/>
          <w:szCs w:val="32"/>
          <w:lang w:eastAsia="zh-Hans"/>
        </w:rPr>
        <w:t>活动形式</w:t>
      </w:r>
    </w:p>
    <w:p w14:paraId="4D748E2C" w14:textId="77777777" w:rsidR="00FF36DB" w:rsidRDefault="00FF36DB" w:rsidP="00FF36DB">
      <w:pPr>
        <w:numPr>
          <w:ilvl w:val="0"/>
          <w:numId w:val="2"/>
        </w:numPr>
        <w:spacing w:line="520" w:lineRule="exact"/>
        <w:ind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线上</w:t>
      </w:r>
      <w:r>
        <w:rPr>
          <w:rFonts w:ascii="方正仿宋_GBK" w:eastAsia="方正仿宋_GBK" w:hint="eastAsia"/>
          <w:sz w:val="32"/>
          <w:szCs w:val="32"/>
        </w:rPr>
        <w:t>抽奖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活动。</w:t>
      </w:r>
      <w:r>
        <w:rPr>
          <w:rFonts w:ascii="方正仿宋_GBK" w:eastAsia="方正仿宋_GBK" w:hint="eastAsia"/>
          <w:sz w:val="32"/>
          <w:szCs w:val="32"/>
        </w:rPr>
        <w:t>利用联名品牌方的</w:t>
      </w:r>
      <w:r>
        <w:rPr>
          <w:rFonts w:ascii="方正仿宋_GBK" w:eastAsia="方正仿宋_GBK" w:hint="eastAsia"/>
          <w:sz w:val="32"/>
          <w:szCs w:val="32"/>
          <w:lang w:eastAsia="zh-Hans"/>
        </w:rPr>
        <w:t>线上</w:t>
      </w:r>
      <w:r>
        <w:rPr>
          <w:rFonts w:ascii="方正仿宋_GBK" w:eastAsia="方正仿宋_GBK" w:hint="eastAsia"/>
          <w:sz w:val="32"/>
          <w:szCs w:val="32"/>
        </w:rPr>
        <w:t>平台，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开展</w:t>
      </w:r>
      <w:r>
        <w:rPr>
          <w:rFonts w:ascii="方正仿宋_GBK" w:eastAsia="方正仿宋_GBK" w:hint="eastAsia"/>
          <w:sz w:val="32"/>
          <w:szCs w:val="32"/>
        </w:rPr>
        <w:t>特色新年抽奖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活动，引入热点话题营销，</w:t>
      </w:r>
      <w:r>
        <w:rPr>
          <w:rFonts w:ascii="方正仿宋_GBK" w:eastAsia="方正仿宋_GBK" w:hint="eastAsia"/>
          <w:sz w:val="32"/>
          <w:szCs w:val="32"/>
        </w:rPr>
        <w:t>同时在游戏中植入体彩大乐透和联名品牌方的促销代金券(大乐透代金券由采购人提供，其它费用及奖品由中标供应商提供）及现金红包，现金红包奖励的总金额不低于4万元</w:t>
      </w:r>
      <w:r>
        <w:rPr>
          <w:rFonts w:ascii="方正仿宋_GBK" w:eastAsia="方正仿宋_GBK" w:hint="eastAsia"/>
          <w:sz w:val="32"/>
          <w:szCs w:val="32"/>
          <w:lang w:eastAsia="zh-Hans"/>
        </w:rPr>
        <w:t>。</w:t>
      </w:r>
      <w:r>
        <w:rPr>
          <w:rFonts w:ascii="方正仿宋_GBK" w:eastAsia="方正仿宋_GBK" w:hint="eastAsia"/>
          <w:sz w:val="32"/>
          <w:szCs w:val="32"/>
        </w:rPr>
        <w:t>要求</w:t>
      </w:r>
      <w:r>
        <w:rPr>
          <w:rFonts w:ascii="方正仿宋_GBK" w:eastAsia="方正仿宋_GBK" w:hint="eastAsia"/>
          <w:sz w:val="32"/>
          <w:szCs w:val="32"/>
          <w:lang w:eastAsia="zh-Hans"/>
        </w:rPr>
        <w:t>线上</w:t>
      </w:r>
      <w:r>
        <w:rPr>
          <w:rFonts w:ascii="方正仿宋_GBK" w:eastAsia="方正仿宋_GBK" w:hint="eastAsia"/>
          <w:sz w:val="32"/>
          <w:szCs w:val="32"/>
        </w:rPr>
        <w:t>至少开展4场抽奖活动，联名</w:t>
      </w:r>
      <w:proofErr w:type="gramStart"/>
      <w:r>
        <w:rPr>
          <w:rFonts w:ascii="方正仿宋_GBK" w:eastAsia="方正仿宋_GBK" w:hint="eastAsia"/>
          <w:sz w:val="32"/>
          <w:szCs w:val="32"/>
        </w:rPr>
        <w:t>品牌私域粉丝</w:t>
      </w:r>
      <w:proofErr w:type="gramEnd"/>
      <w:r>
        <w:rPr>
          <w:rFonts w:ascii="方正仿宋_GBK" w:eastAsia="方正仿宋_GBK" w:hint="eastAsia"/>
          <w:sz w:val="32"/>
          <w:szCs w:val="32"/>
        </w:rPr>
        <w:t>量应不低于40万，参与总人数不低于20万。</w:t>
      </w:r>
    </w:p>
    <w:p w14:paraId="0B7F19BC" w14:textId="77777777" w:rsidR="00FF36DB" w:rsidRDefault="00FF36DB" w:rsidP="00FF36DB">
      <w:pPr>
        <w:spacing w:line="520" w:lineRule="exact"/>
        <w:ind w:firstLineChars="200" w:firstLine="640"/>
        <w:rPr>
          <w:rFonts w:ascii="方正仿宋_GBK" w:eastAsia="仿宋"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>（二）联名品牌需有不低于100个实体门</w:t>
      </w:r>
      <w:proofErr w:type="gramStart"/>
      <w:r>
        <w:rPr>
          <w:rFonts w:ascii="仿宋" w:eastAsia="仿宋" w:hAnsi="仿宋" w:cs="方正仿宋_GBK" w:hint="eastAsia"/>
          <w:bCs/>
          <w:sz w:val="32"/>
          <w:szCs w:val="32"/>
        </w:rPr>
        <w:t>店或者</w:t>
      </w:r>
      <w:proofErr w:type="gramEnd"/>
      <w:r>
        <w:rPr>
          <w:rFonts w:ascii="仿宋" w:eastAsia="仿宋" w:hAnsi="仿宋" w:cs="方正仿宋_GBK" w:hint="eastAsia"/>
          <w:bCs/>
          <w:sz w:val="32"/>
          <w:szCs w:val="32"/>
        </w:rPr>
        <w:t>营销点位对本次活动进行联名宣传曝光及推广，形式不限于张贴海报、地推、活动宣传展架等形式，</w:t>
      </w:r>
      <w:proofErr w:type="gramStart"/>
      <w:r>
        <w:rPr>
          <w:rFonts w:ascii="仿宋" w:eastAsia="仿宋" w:hAnsi="仿宋" w:cs="方正仿宋_GBK" w:hint="eastAsia"/>
          <w:bCs/>
          <w:sz w:val="32"/>
          <w:szCs w:val="32"/>
        </w:rPr>
        <w:t>触达人群</w:t>
      </w:r>
      <w:proofErr w:type="gramEnd"/>
      <w:r>
        <w:rPr>
          <w:rFonts w:ascii="仿宋" w:eastAsia="仿宋" w:hAnsi="仿宋" w:cs="方正仿宋_GBK" w:hint="eastAsia"/>
          <w:bCs/>
          <w:sz w:val="32"/>
          <w:szCs w:val="32"/>
        </w:rPr>
        <w:t>需不低于10万青年群体。</w:t>
      </w:r>
    </w:p>
    <w:p w14:paraId="260AFC6B" w14:textId="77777777" w:rsidR="00FF36DB" w:rsidRDefault="00FF36DB" w:rsidP="00FF36DB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>（三）</w:t>
      </w:r>
      <w:r>
        <w:rPr>
          <w:rFonts w:ascii="方正仿宋_GBK" w:eastAsia="方正仿宋_GBK" w:hint="eastAsia"/>
          <w:sz w:val="32"/>
          <w:szCs w:val="32"/>
          <w:lang w:eastAsia="zh-Hans"/>
        </w:rPr>
        <w:t>线下</w:t>
      </w:r>
      <w:r>
        <w:rPr>
          <w:rFonts w:ascii="方正仿宋_GBK" w:eastAsia="方正仿宋_GBK" w:hint="eastAsia"/>
          <w:sz w:val="32"/>
          <w:szCs w:val="32"/>
        </w:rPr>
        <w:t>地推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</w:t>
      </w:r>
      <w:r>
        <w:rPr>
          <w:rFonts w:ascii="方正仿宋_GBK" w:eastAsia="方正仿宋_GBK" w:hint="eastAsia"/>
          <w:sz w:val="32"/>
          <w:szCs w:val="32"/>
        </w:rPr>
        <w:t>。需选择人流密集的商业中心或商业街区人流相对集中的区域</w:t>
      </w:r>
      <w:r>
        <w:rPr>
          <w:rFonts w:ascii="方正仿宋_GBK" w:eastAsia="方正仿宋_GBK" w:hint="eastAsia"/>
          <w:sz w:val="32"/>
          <w:szCs w:val="32"/>
          <w:lang w:eastAsia="zh-Hans"/>
        </w:rPr>
        <w:t>开展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  <w:lang w:eastAsia="zh-Hans"/>
        </w:rPr>
        <w:t>场</w:t>
      </w:r>
      <w:r>
        <w:rPr>
          <w:rFonts w:ascii="方正仿宋_GBK" w:eastAsia="方正仿宋_GBK" w:hint="eastAsia"/>
          <w:sz w:val="32"/>
          <w:szCs w:val="32"/>
        </w:rPr>
        <w:t>新年地</w:t>
      </w:r>
      <w:proofErr w:type="gramStart"/>
      <w:r>
        <w:rPr>
          <w:rFonts w:ascii="方正仿宋_GBK" w:eastAsia="方正仿宋_GBK" w:hint="eastAsia"/>
          <w:sz w:val="32"/>
          <w:szCs w:val="32"/>
        </w:rPr>
        <w:t>推</w:t>
      </w:r>
      <w:r>
        <w:rPr>
          <w:rFonts w:ascii="方正仿宋_GBK" w:eastAsia="方正仿宋_GBK" w:hint="eastAsia"/>
          <w:sz w:val="32"/>
          <w:szCs w:val="32"/>
          <w:lang w:eastAsia="zh-Hans"/>
        </w:rPr>
        <w:t>系列</w:t>
      </w:r>
      <w:proofErr w:type="gramEnd"/>
      <w:r>
        <w:rPr>
          <w:rFonts w:ascii="方正仿宋_GBK" w:eastAsia="方正仿宋_GBK" w:hint="eastAsia"/>
          <w:sz w:val="32"/>
          <w:szCs w:val="32"/>
          <w:lang w:eastAsia="zh-Hans"/>
        </w:rPr>
        <w:t>活动</w:t>
      </w:r>
      <w:r>
        <w:rPr>
          <w:rFonts w:ascii="方正仿宋_GBK" w:eastAsia="方正仿宋_GBK" w:hint="eastAsia"/>
          <w:sz w:val="32"/>
          <w:szCs w:val="32"/>
        </w:rPr>
        <w:t>，每场活动时间为2天，其中必须有一场活动安排在周末开展。供应商负责场地租赁以及环卫、市政、公安、信访、街道、当地政府、物业管理等部门的沟通协调工作；项目撤展后，负责拆卸、移除、运输相关物料和设备。地</w:t>
      </w:r>
      <w:proofErr w:type="gramStart"/>
      <w:r>
        <w:rPr>
          <w:rFonts w:ascii="方正仿宋_GBK" w:eastAsia="方正仿宋_GBK" w:hint="eastAsia"/>
          <w:sz w:val="32"/>
          <w:szCs w:val="32"/>
        </w:rPr>
        <w:t>推活动</w:t>
      </w:r>
      <w:proofErr w:type="gramEnd"/>
      <w:r>
        <w:rPr>
          <w:rFonts w:ascii="方正仿宋_GBK" w:eastAsia="方正仿宋_GBK" w:hint="eastAsia"/>
          <w:sz w:val="32"/>
          <w:szCs w:val="32"/>
        </w:rPr>
        <w:t>搭建面积不低于150平米，</w:t>
      </w:r>
      <w:r>
        <w:rPr>
          <w:rFonts w:ascii="方正仿宋_GBK" w:eastAsia="方正仿宋_GBK"/>
          <w:sz w:val="32"/>
          <w:szCs w:val="32"/>
          <w:lang w:eastAsia="zh-Hans"/>
        </w:rPr>
        <w:t>现场设置舞台区、</w:t>
      </w:r>
      <w:r>
        <w:rPr>
          <w:rFonts w:ascii="方正仿宋_GBK" w:eastAsia="方正仿宋_GBK" w:hint="eastAsia"/>
          <w:sz w:val="32"/>
          <w:szCs w:val="32"/>
        </w:rPr>
        <w:t>游戏</w:t>
      </w:r>
      <w:r>
        <w:rPr>
          <w:rFonts w:ascii="方正仿宋_GBK" w:eastAsia="方正仿宋_GBK"/>
          <w:sz w:val="32"/>
          <w:szCs w:val="32"/>
          <w:lang w:eastAsia="zh-Hans"/>
        </w:rPr>
        <w:t>区</w:t>
      </w:r>
      <w:r>
        <w:rPr>
          <w:rFonts w:ascii="方正仿宋_GBK" w:eastAsia="方正仿宋_GBK" w:hint="eastAsia"/>
          <w:sz w:val="32"/>
          <w:szCs w:val="32"/>
        </w:rPr>
        <w:t>、礼品兑换区、拍照打卡点</w:t>
      </w:r>
      <w:r>
        <w:rPr>
          <w:rFonts w:ascii="方正仿宋_GBK" w:eastAsia="方正仿宋_GBK" w:hint="eastAsia"/>
          <w:sz w:val="32"/>
          <w:szCs w:val="32"/>
          <w:lang w:eastAsia="zh-Hans"/>
        </w:rPr>
        <w:t>等</w:t>
      </w:r>
      <w:r>
        <w:rPr>
          <w:rFonts w:ascii="方正仿宋_GBK" w:eastAsia="方正仿宋_GBK"/>
          <w:sz w:val="32"/>
          <w:szCs w:val="32"/>
          <w:lang w:eastAsia="zh-Hans"/>
        </w:rPr>
        <w:t>展示区。</w:t>
      </w:r>
      <w:r>
        <w:rPr>
          <w:rFonts w:ascii="方正仿宋_GBK" w:eastAsia="方正仿宋_GBK" w:hint="eastAsia"/>
          <w:sz w:val="32"/>
          <w:szCs w:val="32"/>
        </w:rPr>
        <w:t>设置</w:t>
      </w:r>
      <w:r>
        <w:rPr>
          <w:rFonts w:ascii="方正仿宋_GBK" w:eastAsia="方正仿宋_GBK" w:hint="eastAsia"/>
          <w:sz w:val="32"/>
          <w:szCs w:val="32"/>
          <w:lang w:eastAsia="zh-Hans"/>
        </w:rPr>
        <w:t>不低于</w:t>
      </w:r>
      <w:r>
        <w:rPr>
          <w:rFonts w:ascii="方正仿宋_GBK" w:eastAsia="方正仿宋_GBK"/>
          <w:sz w:val="32"/>
          <w:szCs w:val="32"/>
          <w:lang w:eastAsia="zh-Hans"/>
        </w:rPr>
        <w:t>4</w:t>
      </w:r>
      <w:r>
        <w:rPr>
          <w:rFonts w:ascii="方正仿宋_GBK" w:eastAsia="方正仿宋_GBK" w:hint="eastAsia"/>
          <w:sz w:val="32"/>
          <w:szCs w:val="32"/>
          <w:lang w:eastAsia="zh-Hans"/>
        </w:rPr>
        <w:t>个参与性强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创意新颖的互动活动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Ansi="华文仿宋" w:hint="eastAsia"/>
          <w:color w:val="000000"/>
          <w:sz w:val="32"/>
          <w:szCs w:val="32"/>
        </w:rPr>
        <w:t>在游戏环节中寓教于乐，让参与者在游戏中了解大乐透品牌。每场地</w:t>
      </w:r>
      <w:proofErr w:type="gramStart"/>
      <w:r>
        <w:rPr>
          <w:rFonts w:ascii="方正仿宋_GBK" w:eastAsia="方正仿宋_GBK" w:hAnsi="华文仿宋" w:hint="eastAsia"/>
          <w:color w:val="000000"/>
          <w:sz w:val="32"/>
          <w:szCs w:val="32"/>
        </w:rPr>
        <w:t>推活动</w:t>
      </w:r>
      <w:proofErr w:type="gramEnd"/>
      <w:r>
        <w:rPr>
          <w:rFonts w:ascii="方正仿宋_GBK" w:eastAsia="方正仿宋_GBK" w:hAnsi="华文仿宋" w:hint="eastAsia"/>
          <w:color w:val="000000"/>
          <w:sz w:val="32"/>
          <w:szCs w:val="32"/>
        </w:rPr>
        <w:t>的参与总</w:t>
      </w:r>
      <w:r>
        <w:rPr>
          <w:rFonts w:ascii="方正仿宋_GBK" w:eastAsia="方正仿宋_GBK" w:hAnsi="华文仿宋" w:hint="eastAsia"/>
          <w:color w:val="000000"/>
          <w:sz w:val="32"/>
          <w:szCs w:val="32"/>
        </w:rPr>
        <w:lastRenderedPageBreak/>
        <w:t>人数不低于1000人，</w:t>
      </w:r>
      <w:r>
        <w:rPr>
          <w:rFonts w:ascii="方正仿宋_GBK" w:eastAsia="方正仿宋_GBK" w:hint="eastAsia"/>
          <w:sz w:val="32"/>
          <w:szCs w:val="32"/>
        </w:rPr>
        <w:t>地</w:t>
      </w:r>
      <w:proofErr w:type="gramStart"/>
      <w:r>
        <w:rPr>
          <w:rFonts w:ascii="方正仿宋_GBK" w:eastAsia="方正仿宋_GBK" w:hint="eastAsia"/>
          <w:sz w:val="32"/>
          <w:szCs w:val="32"/>
        </w:rPr>
        <w:t>推活动</w:t>
      </w:r>
      <w:proofErr w:type="gramEnd"/>
      <w:r>
        <w:rPr>
          <w:rFonts w:ascii="方正仿宋_GBK" w:eastAsia="方正仿宋_GBK" w:hint="eastAsia"/>
          <w:sz w:val="32"/>
          <w:szCs w:val="32"/>
        </w:rPr>
        <w:t>的礼品总量不低于2000份，价值不低于4万元，需要有体彩大乐</w:t>
      </w:r>
      <w:proofErr w:type="gramStart"/>
      <w:r>
        <w:rPr>
          <w:rFonts w:ascii="方正仿宋_GBK" w:eastAsia="方正仿宋_GBK" w:hint="eastAsia"/>
          <w:sz w:val="32"/>
          <w:szCs w:val="32"/>
        </w:rPr>
        <w:t>透品牌</w:t>
      </w:r>
      <w:proofErr w:type="gramEnd"/>
      <w:r>
        <w:rPr>
          <w:rFonts w:ascii="方正仿宋_GBK" w:eastAsia="方正仿宋_GBK" w:hint="eastAsia"/>
          <w:sz w:val="32"/>
          <w:szCs w:val="32"/>
        </w:rPr>
        <w:t>logo标识露出。</w:t>
      </w:r>
    </w:p>
    <w:p w14:paraId="0E82546A" w14:textId="77777777" w:rsidR="00FF36DB" w:rsidRDefault="00FF36DB" w:rsidP="00FF36DB">
      <w:pPr>
        <w:numPr>
          <w:ilvl w:val="0"/>
          <w:numId w:val="1"/>
        </w:numPr>
        <w:spacing w:line="520" w:lineRule="exact"/>
        <w:ind w:firstLineChars="200" w:firstLine="643"/>
        <w:jc w:val="left"/>
        <w:rPr>
          <w:rFonts w:ascii="仿宋" w:eastAsia="仿宋" w:hAnsi="仿宋" w:cs="方正仿宋_GBK" w:hint="eastAsia"/>
          <w:b/>
          <w:sz w:val="32"/>
          <w:szCs w:val="32"/>
          <w:lang w:eastAsia="zh-Hans"/>
        </w:rPr>
      </w:pPr>
      <w:r>
        <w:rPr>
          <w:rFonts w:ascii="仿宋" w:eastAsia="仿宋" w:hAnsi="仿宋" w:cs="方正仿宋_GBK" w:hint="eastAsia"/>
          <w:b/>
          <w:sz w:val="32"/>
          <w:szCs w:val="32"/>
          <w:lang w:eastAsia="zh-Hans"/>
        </w:rPr>
        <w:t>方案要求</w:t>
      </w:r>
    </w:p>
    <w:p w14:paraId="38ED1B2F" w14:textId="77777777" w:rsidR="00FF36DB" w:rsidRDefault="00FF36DB" w:rsidP="00FF36DB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供应商在</w:t>
      </w:r>
      <w:r>
        <w:rPr>
          <w:rFonts w:ascii="方正仿宋_GBK" w:eastAsia="方正仿宋_GBK" w:hint="eastAsia"/>
          <w:sz w:val="32"/>
          <w:szCs w:val="32"/>
          <w:lang w:eastAsia="zh-Hans"/>
        </w:rPr>
        <w:t>应标时须</w:t>
      </w:r>
      <w:r>
        <w:rPr>
          <w:rFonts w:ascii="方正仿宋_GBK" w:eastAsia="方正仿宋_GBK" w:hint="eastAsia"/>
          <w:sz w:val="32"/>
          <w:szCs w:val="32"/>
        </w:rPr>
        <w:t>提交详细的活动实施方案，</w:t>
      </w:r>
      <w:r>
        <w:rPr>
          <w:rFonts w:ascii="方正仿宋_GBK" w:eastAsia="方正仿宋_GBK" w:hint="eastAsia"/>
          <w:sz w:val="32"/>
          <w:szCs w:val="32"/>
          <w:lang w:eastAsia="zh-Hans"/>
        </w:rPr>
        <w:t>方案</w:t>
      </w:r>
      <w:r>
        <w:rPr>
          <w:rFonts w:ascii="方正仿宋_GBK" w:eastAsia="方正仿宋_GBK" w:hint="eastAsia"/>
          <w:sz w:val="32"/>
          <w:szCs w:val="32"/>
        </w:rPr>
        <w:t>主题要鲜明，内容要有新意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包括场地选择及落实情况，执行团队人员落实情况，活动开展的具体形式及内容，互动环节设计方案，宣传方案，安保方案，应急预案，效果评估方案等。同时，在方案沟通或活动执行过程中，如采购人与中标供应商在沟通过程中发现其并不能达到采购人意图，或经会商并不能实现采购人想要达到的效果，采购人将重新选择其它供应商。</w:t>
      </w:r>
    </w:p>
    <w:p w14:paraId="7B38A825" w14:textId="77777777" w:rsidR="00FF36DB" w:rsidRDefault="00FF36DB" w:rsidP="00FF36DB">
      <w:pPr>
        <w:numPr>
          <w:ilvl w:val="0"/>
          <w:numId w:val="1"/>
        </w:numPr>
        <w:spacing w:line="520" w:lineRule="exact"/>
        <w:ind w:firstLineChars="200" w:firstLine="643"/>
        <w:jc w:val="left"/>
        <w:rPr>
          <w:rFonts w:ascii="仿宋" w:eastAsia="仿宋" w:hAnsi="仿宋" w:cs="方正仿宋_GBK" w:hint="eastAsia"/>
          <w:b/>
          <w:sz w:val="32"/>
          <w:szCs w:val="32"/>
        </w:rPr>
      </w:pPr>
      <w:r>
        <w:rPr>
          <w:rFonts w:ascii="仿宋" w:eastAsia="仿宋" w:hAnsi="仿宋" w:cs="方正仿宋_GBK" w:hint="eastAsia"/>
          <w:b/>
          <w:sz w:val="32"/>
          <w:szCs w:val="32"/>
        </w:rPr>
        <w:t>其它</w:t>
      </w:r>
    </w:p>
    <w:p w14:paraId="47979DFC" w14:textId="77777777" w:rsidR="00FF36DB" w:rsidRDefault="00FF36DB" w:rsidP="00FF36DB">
      <w:pPr>
        <w:spacing w:line="520" w:lineRule="exact"/>
        <w:ind w:leftChars="200" w:left="4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项目策划、执行供应商应负责为采购人联络符合要求的</w:t>
      </w:r>
    </w:p>
    <w:p w14:paraId="1E94A0D8" w14:textId="77777777" w:rsidR="00FF36DB" w:rsidRDefault="00FF36DB" w:rsidP="00FF36DB">
      <w:pPr>
        <w:spacing w:line="52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联名品牌方。</w:t>
      </w:r>
    </w:p>
    <w:p w14:paraId="46EB3F35" w14:textId="77777777" w:rsidR="00FF36DB" w:rsidRDefault="00FF36DB" w:rsidP="00FF36DB"/>
    <w:p w14:paraId="49E4ABB2" w14:textId="77777777" w:rsidR="00FF36DB" w:rsidRDefault="00FF36DB" w:rsidP="00FF36DB">
      <w:pPr>
        <w:pStyle w:val="1"/>
        <w:spacing w:line="520" w:lineRule="exact"/>
        <w:ind w:firstLineChars="0" w:firstLine="0"/>
        <w:rPr>
          <w:rFonts w:ascii="仿宋" w:eastAsia="仿宋" w:hAnsi="仿宋" w:cs="方正仿宋_GBK"/>
          <w:bCs/>
          <w:sz w:val="32"/>
          <w:szCs w:val="32"/>
        </w:rPr>
      </w:pPr>
    </w:p>
    <w:p w14:paraId="649BA487" w14:textId="77777777" w:rsidR="00FF36DB" w:rsidRDefault="00FF36DB" w:rsidP="00FF36DB">
      <w:pPr>
        <w:pStyle w:val="1"/>
        <w:spacing w:line="520" w:lineRule="exact"/>
        <w:ind w:firstLineChars="0" w:firstLine="0"/>
        <w:rPr>
          <w:rFonts w:ascii="仿宋" w:eastAsia="仿宋" w:hAnsi="仿宋" w:cs="方正仿宋_GBK"/>
          <w:bCs/>
          <w:sz w:val="32"/>
          <w:szCs w:val="32"/>
        </w:rPr>
      </w:pPr>
    </w:p>
    <w:p w14:paraId="4203B937" w14:textId="77777777" w:rsidR="00FF36DB" w:rsidRDefault="00FF36DB" w:rsidP="00FF36DB">
      <w:pPr>
        <w:pStyle w:val="1"/>
        <w:spacing w:line="520" w:lineRule="exact"/>
        <w:ind w:firstLineChars="0" w:firstLine="0"/>
        <w:rPr>
          <w:rFonts w:ascii="仿宋" w:eastAsia="仿宋" w:hAnsi="仿宋" w:cs="方正仿宋_GBK"/>
          <w:bCs/>
          <w:sz w:val="32"/>
          <w:szCs w:val="32"/>
        </w:rPr>
      </w:pPr>
    </w:p>
    <w:p w14:paraId="23E55B95" w14:textId="77777777" w:rsidR="00FF36DB" w:rsidRDefault="00FF36DB" w:rsidP="00FF36DB">
      <w:pPr>
        <w:ind w:leftChars="200" w:left="420"/>
        <w:rPr>
          <w:rFonts w:ascii="仿宋" w:eastAsia="仿宋" w:hAnsi="仿宋" w:cs="方正仿宋_GBK"/>
          <w:b/>
          <w:sz w:val="32"/>
          <w:szCs w:val="32"/>
        </w:rPr>
      </w:pPr>
    </w:p>
    <w:p w14:paraId="30F72C7C" w14:textId="77777777" w:rsidR="00FF36DB" w:rsidRDefault="00FF36DB" w:rsidP="00FF36DB">
      <w:pPr>
        <w:rPr>
          <w:rFonts w:ascii="微软雅黑" w:eastAsia="微软雅黑" w:hAnsi="微软雅黑" w:cs="微软雅黑" w:hint="eastAsia"/>
          <w:sz w:val="28"/>
          <w:szCs w:val="28"/>
        </w:rPr>
      </w:pPr>
    </w:p>
    <w:p w14:paraId="15726438" w14:textId="77777777" w:rsidR="00FF36DB" w:rsidRDefault="00FF36DB" w:rsidP="00FF36DB">
      <w:pPr>
        <w:rPr>
          <w:rFonts w:ascii="微软雅黑" w:eastAsia="微软雅黑" w:hAnsi="微软雅黑" w:cs="微软雅黑" w:hint="eastAsia"/>
          <w:sz w:val="28"/>
          <w:szCs w:val="28"/>
        </w:rPr>
      </w:pPr>
    </w:p>
    <w:p w14:paraId="607B83A5" w14:textId="77777777" w:rsidR="00FF36DB" w:rsidRDefault="00FF36DB" w:rsidP="00FF36DB">
      <w:pPr>
        <w:rPr>
          <w:rFonts w:ascii="微软雅黑" w:eastAsia="微软雅黑" w:hAnsi="微软雅黑" w:cs="微软雅黑" w:hint="eastAsia"/>
          <w:sz w:val="28"/>
          <w:szCs w:val="28"/>
        </w:rPr>
      </w:pPr>
    </w:p>
    <w:p w14:paraId="7D763FD5" w14:textId="77777777" w:rsidR="00FF36DB" w:rsidRDefault="00FF36DB" w:rsidP="00FF36DB">
      <w:pPr>
        <w:rPr>
          <w:rFonts w:ascii="微软雅黑" w:eastAsia="微软雅黑" w:hAnsi="微软雅黑" w:cs="微软雅黑" w:hint="eastAsia"/>
          <w:sz w:val="28"/>
          <w:szCs w:val="28"/>
        </w:rPr>
      </w:pPr>
    </w:p>
    <w:p w14:paraId="3C7BC7FD" w14:textId="77777777" w:rsidR="00FF36DB" w:rsidRDefault="00FF36DB" w:rsidP="00FF36DB">
      <w:pPr>
        <w:rPr>
          <w:rFonts w:ascii="微软雅黑" w:eastAsia="微软雅黑" w:hAnsi="微软雅黑" w:cs="微软雅黑" w:hint="eastAsia"/>
          <w:sz w:val="28"/>
          <w:szCs w:val="28"/>
        </w:rPr>
      </w:pPr>
    </w:p>
    <w:p w14:paraId="73B40741" w14:textId="77777777" w:rsidR="00FF36DB" w:rsidRDefault="00FF36DB" w:rsidP="00FF36DB">
      <w:pPr>
        <w:rPr>
          <w:rFonts w:ascii="微软雅黑" w:eastAsia="微软雅黑" w:hAnsi="微软雅黑" w:cs="微软雅黑" w:hint="eastAsia"/>
          <w:sz w:val="28"/>
          <w:szCs w:val="28"/>
        </w:rPr>
      </w:pPr>
    </w:p>
    <w:p w14:paraId="141FECF1" w14:textId="77777777" w:rsidR="000B3209" w:rsidRDefault="000B3209"/>
    <w:sectPr w:rsidR="000B3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AEB4B9"/>
    <w:multiLevelType w:val="singleLevel"/>
    <w:tmpl w:val="8CAEB4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1888F51"/>
    <w:multiLevelType w:val="singleLevel"/>
    <w:tmpl w:val="61888F51"/>
    <w:lvl w:ilvl="0">
      <w:start w:val="1"/>
      <w:numFmt w:val="chineseCounting"/>
      <w:suff w:val="nothing"/>
      <w:lvlText w:val="%1、"/>
      <w:lvlJc w:val="left"/>
    </w:lvl>
  </w:abstractNum>
  <w:num w:numId="1" w16cid:durableId="1703818423">
    <w:abstractNumId w:val="1"/>
  </w:num>
  <w:num w:numId="2" w16cid:durableId="1651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DB"/>
    <w:rsid w:val="000B320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D53D"/>
  <w15:chartTrackingRefBased/>
  <w15:docId w15:val="{5BE7EF7D-0DAF-4EEC-84BA-0BA6331A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DB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FF36DB"/>
    <w:pPr>
      <w:ind w:firstLineChars="200" w:firstLine="420"/>
    </w:pPr>
    <w:rPr>
      <w:rFonts w:ascii="等线" w:eastAsia="等线" w:hAnsi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2024-01-23T08:53:00Z</dcterms:created>
  <dcterms:modified xsi:type="dcterms:W3CDTF">2024-01-23T08:53:00Z</dcterms:modified>
</cp:coreProperties>
</file>